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8857" w14:textId="1B23E63C" w:rsidR="00B65F39" w:rsidRPr="00042F25" w:rsidRDefault="00FB6488" w:rsidP="00B65F39">
      <w:pPr>
        <w:rPr>
          <w:rStyle w:val="nfasis"/>
          <w:b w:val="0"/>
          <w:bCs w:val="0"/>
          <w:i/>
          <w:iCs w:val="0"/>
          <w:spacing w:val="0"/>
        </w:rPr>
      </w:pPr>
      <w:r w:rsidRPr="00042F25">
        <w:rPr>
          <w:noProof/>
          <w:lang w:val="es-CO" w:eastAsia="es-CO"/>
        </w:rPr>
        <w:drawing>
          <wp:inline distT="0" distB="0" distL="0" distR="0" wp14:anchorId="4B44494F" wp14:editId="1793C381">
            <wp:extent cx="1314450" cy="619125"/>
            <wp:effectExtent l="0" t="0" r="0" b="9525"/>
            <wp:docPr id="13" name="Imagem 13" descr="http://www.bsbflash.com/wp-content/uploads/2015/08/eses.gif"/>
            <wp:cNvGraphicFramePr/>
            <a:graphic xmlns:a="http://schemas.openxmlformats.org/drawingml/2006/main">
              <a:graphicData uri="http://schemas.openxmlformats.org/drawingml/2006/picture">
                <pic:pic xmlns:pic="http://schemas.openxmlformats.org/drawingml/2006/picture">
                  <pic:nvPicPr>
                    <pic:cNvPr id="14" name="Imagem 14" descr="http://www.bsbflash.com/wp-content/uploads/2015/08/eses.gif"/>
                    <pic:cNvPicPr/>
                  </pic:nvPicPr>
                  <pic:blipFill rotWithShape="1">
                    <a:blip r:embed="rId8">
                      <a:extLst>
                        <a:ext uri="{28A0092B-C50C-407E-A947-70E740481C1C}">
                          <a14:useLocalDpi xmlns:a14="http://schemas.microsoft.com/office/drawing/2010/main" val="0"/>
                        </a:ext>
                      </a:extLst>
                    </a:blip>
                    <a:srcRect l="22000" t="29000" r="18666" b="28000"/>
                    <a:stretch/>
                  </pic:blipFill>
                  <pic:spPr bwMode="auto">
                    <a:xfrm>
                      <a:off x="0" y="0"/>
                      <a:ext cx="1314450" cy="6191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425788" w:rsidRPr="00042F25">
        <w:rPr>
          <w:noProof/>
          <w:lang w:val="es-CO" w:eastAsia="es-CO"/>
        </w:rPr>
        <w:drawing>
          <wp:anchor distT="0" distB="0" distL="114300" distR="114300" simplePos="0" relativeHeight="251659264" behindDoc="1" locked="0" layoutInCell="1" allowOverlap="1" wp14:anchorId="3A1A7EE2" wp14:editId="258277A6">
            <wp:simplePos x="1076325" y="1419225"/>
            <wp:positionH relativeFrom="margin">
              <wp:align>right</wp:align>
            </wp:positionH>
            <wp:positionV relativeFrom="margin">
              <wp:align>top</wp:align>
            </wp:positionV>
            <wp:extent cx="2493645" cy="723900"/>
            <wp:effectExtent l="0" t="0" r="1905" b="0"/>
            <wp:wrapNone/>
            <wp:docPr id="6"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clrChange>
                        <a:clrFrom>
                          <a:srgbClr val="FFFFFF"/>
                        </a:clrFrom>
                        <a:clrTo>
                          <a:srgbClr val="FFFFFF">
                            <a:alpha val="0"/>
                          </a:srgbClr>
                        </a:clrTo>
                      </a:clrChange>
                      <a:lum bright="-20000" contrast="40000"/>
                      <a:extLst>
                        <a:ext uri="{28A0092B-C50C-407E-A947-70E740481C1C}">
                          <a14:useLocalDpi xmlns:a14="http://schemas.microsoft.com/office/drawing/2010/main" val="0"/>
                        </a:ext>
                      </a:extLst>
                    </a:blip>
                    <a:srcRect/>
                    <a:stretch>
                      <a:fillRect/>
                    </a:stretch>
                  </pic:blipFill>
                  <pic:spPr bwMode="auto">
                    <a:xfrm>
                      <a:off x="0" y="0"/>
                      <a:ext cx="2507778" cy="728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5B5" w:rsidRPr="00042F25">
        <w:t xml:space="preserve">                                                                                                 </w:t>
      </w:r>
      <w:r w:rsidR="00425788" w:rsidRPr="00042F25">
        <w:t xml:space="preserve"> </w:t>
      </w:r>
      <w:r w:rsidR="00B65F39" w:rsidRPr="00042F25">
        <w:rPr>
          <w:noProof/>
          <w:szCs w:val="40"/>
          <w:lang w:val="es-CO" w:eastAsia="es-CO"/>
        </w:rPr>
        <mc:AlternateContent>
          <mc:Choice Requires="wps">
            <w:drawing>
              <wp:anchor distT="45720" distB="45720" distL="114300" distR="114300" simplePos="0" relativeHeight="251666432" behindDoc="1" locked="1" layoutInCell="1" allowOverlap="0" wp14:anchorId="1934E317" wp14:editId="1CF89D49">
                <wp:simplePos x="1095375" y="1866900"/>
                <wp:positionH relativeFrom="margin">
                  <wp:align>center</wp:align>
                </wp:positionH>
                <wp:positionV relativeFrom="margin">
                  <wp:align>center</wp:align>
                </wp:positionV>
                <wp:extent cx="5040000" cy="7200000"/>
                <wp:effectExtent l="0" t="0" r="0" b="127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7200000"/>
                        </a:xfrm>
                        <a:prstGeom prst="rect">
                          <a:avLst/>
                        </a:prstGeom>
                        <a:noFill/>
                        <a:ln w="9525">
                          <a:noFill/>
                          <a:miter lim="800000"/>
                          <a:headEnd/>
                          <a:tailEnd/>
                        </a:ln>
                      </wps:spPr>
                      <wps:txbx>
                        <w:txbxContent>
                          <w:p w14:paraId="3EDF0BDF" w14:textId="091801ED" w:rsidR="00D21F17" w:rsidRDefault="00D21F17" w:rsidP="00231478">
                            <w:pPr>
                              <w:pStyle w:val="TtuloCapa"/>
                            </w:pPr>
                            <w:r>
                              <w:t>PRODUTO 04: Relatório de desempenho das empresas estaduais</w:t>
                            </w:r>
                          </w:p>
                          <w:p w14:paraId="0DD74C8C" w14:textId="77777777" w:rsidR="00D21F17" w:rsidRDefault="00D21F17" w:rsidP="00231478">
                            <w:pPr>
                              <w:pStyle w:val="TtuloCapa"/>
                            </w:pPr>
                          </w:p>
                          <w:p w14:paraId="64670CC0" w14:textId="17A044DE" w:rsidR="00D21F17" w:rsidRPr="002206B2" w:rsidRDefault="00D21F17" w:rsidP="00231478">
                            <w:pPr>
                              <w:pStyle w:val="TtuloCapa"/>
                            </w:pPr>
                            <w:r>
                              <w:t>CONTRATO GO-AESBE ASSINADO EM 23 DE MARÇO DE 2016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4E317" id="_x0000_t202" coordsize="21600,21600" o:spt="202" path="m,l,21600r21600,l21600,xe">
                <v:stroke joinstyle="miter"/>
                <v:path gradientshapeok="t" o:connecttype="rect"/>
              </v:shapetype>
              <v:shape id="Caixa de Texto 2" o:spid="_x0000_s1026" type="#_x0000_t202" style="position:absolute;left:0;text-align:left;margin-left:0;margin-top:0;width:396.85pt;height:566.95pt;z-index:-25165004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" o:allowoverlap="f" filled="f" stroked="f">
                <v:textbox>
                  <w:txbxContent>
                    <w:p w14:paraId="3EDF0BDF" w14:textId="091801ED" w:rsidR="00D21F17" w:rsidRDefault="00D21F17" w:rsidP="00231478">
                      <w:pPr>
                        <w:pStyle w:val="TtuloCapa"/>
                      </w:pPr>
                      <w:r>
                        <w:t>PRODUTO 04: Relatório de desempenho das empresas estaduais</w:t>
                      </w:r>
                    </w:p>
                    <w:p w14:paraId="0DD74C8C" w14:textId="77777777" w:rsidR="00D21F17" w:rsidRDefault="00D21F17" w:rsidP="00231478">
                      <w:pPr>
                        <w:pStyle w:val="TtuloCapa"/>
                      </w:pPr>
                    </w:p>
                    <w:p w14:paraId="64670CC0" w14:textId="17A044DE" w:rsidR="00D21F17" w:rsidRPr="002206B2" w:rsidRDefault="00D21F17" w:rsidP="00231478">
                      <w:pPr>
                        <w:pStyle w:val="TtuloCapa"/>
                      </w:pPr>
                      <w:r>
                        <w:t>CONTRATO GO-AESBE ASSINADO EM 23 DE MARÇO DE 2016</w:t>
                      </w:r>
                    </w:p>
                  </w:txbxContent>
                </v:textbox>
                <w10:wrap anchorx="margin" anchory="margin"/>
                <w10:anchorlock/>
              </v:shape>
            </w:pict>
          </mc:Fallback>
        </mc:AlternateContent>
      </w:r>
      <w:r w:rsidR="00205C88" w:rsidRPr="00042F25">
        <w:rPr>
          <w:noProof/>
          <w:szCs w:val="40"/>
          <w:lang w:val="es-CO" w:eastAsia="es-CO"/>
        </w:rPr>
        <mc:AlternateContent>
          <mc:Choice Requires="wps">
            <w:drawing>
              <wp:anchor distT="45720" distB="45720" distL="114300" distR="114300" simplePos="0" relativeHeight="251664384" behindDoc="1" locked="1" layoutInCell="1" allowOverlap="1" wp14:anchorId="08B6A847" wp14:editId="49BAF6D0">
                <wp:simplePos x="0" y="0"/>
                <wp:positionH relativeFrom="margin">
                  <wp:align>center</wp:align>
                </wp:positionH>
                <wp:positionV relativeFrom="page">
                  <wp:align>bottom</wp:align>
                </wp:positionV>
                <wp:extent cx="5364000" cy="133200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1332000"/>
                        </a:xfrm>
                        <a:prstGeom prst="rect">
                          <a:avLst/>
                        </a:prstGeom>
                        <a:noFill/>
                        <a:ln w="9525">
                          <a:noFill/>
                          <a:miter lim="800000"/>
                          <a:headEnd/>
                          <a:tailEnd/>
                        </a:ln>
                      </wps:spPr>
                      <wps:txbx>
                        <w:txbxContent>
                          <w:p w14:paraId="050AD13C" w14:textId="61412F4C" w:rsidR="00D21F17" w:rsidRDefault="00D21F17" w:rsidP="00205C88">
                            <w:pPr>
                              <w:ind w:firstLine="0"/>
                              <w:jc w:val="center"/>
                              <w:rPr>
                                <w:szCs w:val="40"/>
                              </w:rPr>
                            </w:pPr>
                            <w:r w:rsidRPr="00231478">
                              <w:rPr>
                                <w:szCs w:val="40"/>
                              </w:rPr>
                              <w:t xml:space="preserve">São Paulo, </w:t>
                            </w:r>
                            <w:r>
                              <w:rPr>
                                <w:szCs w:val="40"/>
                              </w:rPr>
                              <w:t xml:space="preserve">Setembro </w:t>
                            </w:r>
                            <w:r w:rsidRPr="00231478">
                              <w:rPr>
                                <w:szCs w:val="40"/>
                              </w:rPr>
                              <w:t>de 201</w:t>
                            </w:r>
                            <w:r>
                              <w:rPr>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6A847" id="_x0000_s1027" type="#_x0000_t202" style="position:absolute;left:0;text-align:left;margin-left:0;margin-top:0;width:422.35pt;height:104.9pt;z-index:-251652096;visibility:visible;mso-wrap-style:square;mso-width-percent:0;mso-height-percent:0;mso-wrap-distance-left:9pt;mso-wrap-distance-top:3.6pt;mso-wrap-distance-right:9pt;mso-wrap-distance-bottom:3.6pt;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" filled="f" stroked="f">
                <v:textbox>
                  <w:txbxContent>
                    <w:p w14:paraId="050AD13C" w14:textId="61412F4C" w:rsidR="00D21F17" w:rsidRDefault="00D21F17" w:rsidP="00205C88">
                      <w:pPr>
                        <w:ind w:firstLine="0"/>
                        <w:jc w:val="center"/>
                        <w:rPr>
                          <w:szCs w:val="40"/>
                        </w:rPr>
                      </w:pPr>
                      <w:r w:rsidRPr="00231478">
                        <w:rPr>
                          <w:szCs w:val="40"/>
                        </w:rPr>
                        <w:t xml:space="preserve">São Paulo, </w:t>
                      </w:r>
                      <w:r>
                        <w:rPr>
                          <w:szCs w:val="40"/>
                        </w:rPr>
                        <w:t xml:space="preserve">Setembro </w:t>
                      </w:r>
                      <w:r w:rsidRPr="00231478">
                        <w:rPr>
                          <w:szCs w:val="40"/>
                        </w:rPr>
                        <w:t>de 201</w:t>
                      </w:r>
                      <w:r>
                        <w:rPr>
                          <w:szCs w:val="40"/>
                        </w:rPr>
                        <w:t>7</w:t>
                      </w:r>
                    </w:p>
                  </w:txbxContent>
                </v:textbox>
                <w10:wrap anchorx="margin" anchory="page"/>
                <w10:anchorlock/>
              </v:shape>
            </w:pict>
          </mc:Fallback>
        </mc:AlternateContent>
      </w:r>
      <w:r w:rsidR="00B65F39" w:rsidRPr="00042F25">
        <w:rPr>
          <w:rStyle w:val="nfasis"/>
        </w:rPr>
        <w:br w:type="page"/>
      </w:r>
    </w:p>
    <w:p w14:paraId="136523CF" w14:textId="77777777" w:rsidR="00425788" w:rsidRPr="00042F25" w:rsidRDefault="00425788" w:rsidP="00B65F39">
      <w:pPr>
        <w:ind w:firstLine="0"/>
        <w:rPr>
          <w:rStyle w:val="nfasis"/>
          <w:i/>
        </w:rPr>
      </w:pPr>
      <w:r w:rsidRPr="00042F25">
        <w:rPr>
          <w:rStyle w:val="nfasis"/>
        </w:rPr>
        <w:lastRenderedPageBreak/>
        <w:t>E</w:t>
      </w:r>
      <w:r w:rsidR="00123836" w:rsidRPr="00042F25">
        <w:rPr>
          <w:rStyle w:val="nfasis"/>
        </w:rPr>
        <w:t>qu</w:t>
      </w:r>
      <w:r w:rsidR="0039524A" w:rsidRPr="00042F25">
        <w:rPr>
          <w:rStyle w:val="nfasis"/>
        </w:rPr>
        <w:t>i</w:t>
      </w:r>
      <w:r w:rsidRPr="00042F25">
        <w:rPr>
          <w:rStyle w:val="nfasis"/>
        </w:rPr>
        <w:t>pe</w:t>
      </w:r>
    </w:p>
    <w:p w14:paraId="4136F3C0" w14:textId="38243958" w:rsidR="00231478" w:rsidRPr="00042F25" w:rsidRDefault="00231478" w:rsidP="00231478">
      <w:pPr>
        <w:ind w:firstLine="1134"/>
        <w:rPr>
          <w:rStyle w:val="NomeItalicoChar"/>
          <w:rFonts w:eastAsiaTheme="minorHAnsi"/>
          <w:i w:val="0"/>
        </w:rPr>
      </w:pPr>
      <w:r w:rsidRPr="00042F25">
        <w:rPr>
          <w:rStyle w:val="NomeItalicoChar"/>
          <w:rFonts w:eastAsiaTheme="minorHAnsi"/>
        </w:rPr>
        <w:t xml:space="preserve">Gesner Oliveira – </w:t>
      </w:r>
      <w:r w:rsidRPr="00042F25">
        <w:rPr>
          <w:rStyle w:val="NomeItalicoChar"/>
          <w:rFonts w:eastAsiaTheme="minorHAnsi"/>
          <w:i w:val="0"/>
        </w:rPr>
        <w:t xml:space="preserve">Presidente do Conselho Administrativo de Defesa Econômica/CADE (1996-2000); Presidente da Sabesp (2007-10); </w:t>
      </w:r>
      <w:r w:rsidR="00C47909" w:rsidRPr="00042F25">
        <w:rPr>
          <w:rStyle w:val="NomeItalicoChar"/>
          <w:rFonts w:eastAsiaTheme="minorHAnsi"/>
          <w:i w:val="0"/>
        </w:rPr>
        <w:t>Ph.D.</w:t>
      </w:r>
      <w:r w:rsidRPr="00042F25">
        <w:rPr>
          <w:rStyle w:val="NomeItalicoChar"/>
          <w:rFonts w:eastAsiaTheme="minorHAnsi"/>
          <w:i w:val="0"/>
        </w:rPr>
        <w:t xml:space="preserve"> em Economia pela Universidade da Califórnia/Berkeley; Professor da Fundação Getúlio Vargas-SP desde 1990. Professor Visitante da Universidade de Columbia nos EUA (2006); Sócio da GO Associados.</w:t>
      </w:r>
    </w:p>
    <w:p w14:paraId="37BBB3CC" w14:textId="77777777" w:rsidR="00231478" w:rsidRPr="00042F25" w:rsidRDefault="00231478" w:rsidP="00231478">
      <w:pPr>
        <w:ind w:firstLine="1134"/>
        <w:rPr>
          <w:rStyle w:val="NomeItalicoChar"/>
          <w:rFonts w:eastAsiaTheme="minorHAnsi"/>
          <w:i w:val="0"/>
        </w:rPr>
      </w:pPr>
      <w:r w:rsidRPr="00042F25">
        <w:rPr>
          <w:rStyle w:val="NomeItalicoChar"/>
          <w:rFonts w:eastAsiaTheme="minorHAnsi"/>
        </w:rPr>
        <w:t xml:space="preserve">Álvaro Menezes - </w:t>
      </w:r>
      <w:r w:rsidRPr="00042F25">
        <w:rPr>
          <w:rStyle w:val="NomeItalicoChar"/>
          <w:rFonts w:eastAsiaTheme="minorHAnsi"/>
          <w:i w:val="0"/>
        </w:rPr>
        <w:t>Engenheiro civil, especialista em Aproveitamento de Recursos Hídricos (UFAL - Universidade Federal de Alagoas); Vice-presidente nacional da ABES-Associação Brasileira de Engenharia Sanitária e Ambiental desde 2012; Gestor público no setor de saneamento básico por 30 anos, ocupando na CASAL-Cia. de Saneamento de Alagoas os cargos de diretor de operações(1989-1991) e comercial(2007-2008), vice-presidente de gestão operacional(2008-2010) e presidente(2011-2014); na COMPESA-Cia. Pernambucana de Saneamento, diretor técnico(1999-2006); Sócio da GO Associados.</w:t>
      </w:r>
    </w:p>
    <w:p w14:paraId="4E59E635" w14:textId="77777777" w:rsidR="00231478" w:rsidRPr="00042F25" w:rsidRDefault="00231478" w:rsidP="00231478">
      <w:pPr>
        <w:ind w:firstLine="1134"/>
        <w:rPr>
          <w:rStyle w:val="NomeItalicoChar"/>
          <w:rFonts w:eastAsiaTheme="minorHAnsi"/>
        </w:rPr>
      </w:pPr>
      <w:r w:rsidRPr="00042F25">
        <w:rPr>
          <w:rStyle w:val="NomeItalicoChar"/>
          <w:rFonts w:eastAsiaTheme="minorHAnsi"/>
        </w:rPr>
        <w:t xml:space="preserve">Pedro Scazufca – </w:t>
      </w:r>
      <w:r w:rsidRPr="00042F25">
        <w:rPr>
          <w:rStyle w:val="NomeItalicoChar"/>
          <w:rFonts w:eastAsiaTheme="minorHAnsi"/>
          <w:i w:val="0"/>
        </w:rPr>
        <w:t>Especialista nas áreas de pesquisa econômica, regulação, defesa da concorrência, comércio, infraestrutura e modelagem de negócios; Mestre em economia pelo Instituto de Pesquisas Econômicas da FEA/USP; Sócio da GO Associados.</w:t>
      </w:r>
    </w:p>
    <w:p w14:paraId="064EB1F2" w14:textId="77777777" w:rsidR="00231478" w:rsidRPr="00042F25" w:rsidRDefault="00231478" w:rsidP="00231478">
      <w:pPr>
        <w:ind w:firstLine="1134"/>
        <w:rPr>
          <w:rStyle w:val="NomeItalicoChar"/>
          <w:rFonts w:eastAsiaTheme="minorHAnsi"/>
        </w:rPr>
      </w:pPr>
      <w:r w:rsidRPr="00042F25">
        <w:rPr>
          <w:rStyle w:val="NomeItalicoChar"/>
          <w:rFonts w:eastAsiaTheme="minorHAnsi"/>
        </w:rPr>
        <w:t xml:space="preserve">Fernando S. Marcato – </w:t>
      </w:r>
      <w:r w:rsidRPr="00042F25">
        <w:rPr>
          <w:rStyle w:val="NomeItalicoChar"/>
          <w:rFonts w:eastAsiaTheme="minorHAnsi"/>
          <w:i w:val="0"/>
        </w:rPr>
        <w:t>Mestre em Direito Público Comparado - Master Recherche 2, avec mention (com mérito) na Universidade Panthéon-Sorbonne (Paris I), Paris, França; Professor do Pós GV-Law em Infraestrutura da Escola de Direito da Fundação Getúlio Vargas de São Paulo – FGV-SP e do curso de graduação em Direito da EDESP – FGV/SP; Sócio da GO Associados.</w:t>
      </w:r>
    </w:p>
    <w:p w14:paraId="6DDA6F27" w14:textId="6C8E5043" w:rsidR="00E57F43" w:rsidRPr="00042F25" w:rsidRDefault="00E57F43" w:rsidP="00E57F43">
      <w:pPr>
        <w:tabs>
          <w:tab w:val="left" w:pos="4678"/>
        </w:tabs>
        <w:spacing w:before="0" w:beforeAutospacing="0" w:after="240" w:afterAutospacing="0"/>
      </w:pPr>
      <w:r w:rsidRPr="00042F25">
        <w:rPr>
          <w:i/>
        </w:rPr>
        <w:t xml:space="preserve">Tatiana Mallet </w:t>
      </w:r>
      <w:r w:rsidRPr="00042F25">
        <w:t>–</w:t>
      </w:r>
      <w:r w:rsidR="00BE25F1" w:rsidRPr="00042F25">
        <w:t xml:space="preserve"> </w:t>
      </w:r>
      <w:r w:rsidR="002F6068" w:rsidRPr="00042F25">
        <w:t>MBA em gerenciamento de projetos na Fundação Getúlio Vargas</w:t>
      </w:r>
      <w:r w:rsidR="00C47909" w:rsidRPr="00042F25">
        <w:t>/FGV; Bacharelado</w:t>
      </w:r>
      <w:r w:rsidRPr="00042F25">
        <w:t xml:space="preserve"> </w:t>
      </w:r>
      <w:r w:rsidR="002F6068" w:rsidRPr="00042F25">
        <w:t>em engenharia mecatrônica na</w:t>
      </w:r>
      <w:r w:rsidRPr="00042F25">
        <w:t xml:space="preserve"> Universi</w:t>
      </w:r>
      <w:r w:rsidR="002F6068" w:rsidRPr="00042F25">
        <w:t>dade de Saarland/UdS; Analista</w:t>
      </w:r>
      <w:r w:rsidRPr="00042F25">
        <w:t xml:space="preserve"> </w:t>
      </w:r>
      <w:r w:rsidR="002F6068" w:rsidRPr="00042F25">
        <w:t>da</w:t>
      </w:r>
      <w:r w:rsidRPr="00042F25">
        <w:t xml:space="preserve"> GO Associados.</w:t>
      </w:r>
    </w:p>
    <w:p w14:paraId="2FFAA242" w14:textId="77777777" w:rsidR="000D0855" w:rsidRPr="00042F25" w:rsidRDefault="00425788" w:rsidP="00C60EE3">
      <w:pPr>
        <w:pageBreakBefore/>
        <w:ind w:firstLine="0"/>
        <w:jc w:val="center"/>
        <w:rPr>
          <w:b/>
          <w:sz w:val="32"/>
          <w:szCs w:val="32"/>
        </w:rPr>
      </w:pPr>
      <w:r w:rsidRPr="00042F25">
        <w:rPr>
          <w:b/>
          <w:sz w:val="32"/>
          <w:szCs w:val="32"/>
        </w:rPr>
        <w:lastRenderedPageBreak/>
        <w:t>SUMÁRIO</w:t>
      </w:r>
    </w:p>
    <w:p w14:paraId="1BBB7901" w14:textId="217BD0CA" w:rsidR="001571A1" w:rsidRDefault="005722CD">
      <w:pPr>
        <w:pStyle w:val="TDC1"/>
        <w:rPr>
          <w:rFonts w:asciiTheme="minorHAnsi" w:eastAsiaTheme="minorEastAsia" w:hAnsiTheme="minorHAnsi" w:cstheme="minorBidi"/>
          <w:b w:val="0"/>
          <w:bCs w:val="0"/>
          <w:caps w:val="0"/>
          <w:noProof/>
          <w:sz w:val="22"/>
          <w:szCs w:val="22"/>
        </w:rPr>
      </w:pPr>
      <w:r w:rsidRPr="00042F25">
        <w:rPr>
          <w:rStyle w:val="Hipervnculo"/>
          <w:noProof/>
          <w:color w:val="auto"/>
          <w:sz w:val="24"/>
          <w:szCs w:val="24"/>
          <w:lang w:eastAsia="en-US"/>
        </w:rPr>
        <w:fldChar w:fldCharType="begin"/>
      </w:r>
      <w:r w:rsidRPr="00042F25">
        <w:rPr>
          <w:rStyle w:val="Hipervnculo"/>
          <w:noProof/>
          <w:color w:val="auto"/>
          <w:sz w:val="24"/>
          <w:szCs w:val="24"/>
          <w:lang w:eastAsia="en-US"/>
        </w:rPr>
        <w:instrText xml:space="preserve"> TOC \o "1-3" \h \z \u </w:instrText>
      </w:r>
      <w:r w:rsidRPr="00042F25">
        <w:rPr>
          <w:rStyle w:val="Hipervnculo"/>
          <w:noProof/>
          <w:color w:val="auto"/>
          <w:sz w:val="24"/>
          <w:szCs w:val="24"/>
          <w:lang w:eastAsia="en-US"/>
        </w:rPr>
        <w:fldChar w:fldCharType="separate"/>
      </w:r>
      <w:hyperlink w:anchor="_Toc493094916" w:history="1">
        <w:r w:rsidR="001571A1" w:rsidRPr="00F22375">
          <w:rPr>
            <w:rStyle w:val="Hipervnculo"/>
            <w:noProof/>
          </w:rPr>
          <w:t>1</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Introdução</w:t>
        </w:r>
        <w:r w:rsidR="001571A1">
          <w:rPr>
            <w:noProof/>
            <w:webHidden/>
          </w:rPr>
          <w:tab/>
        </w:r>
        <w:r w:rsidR="001571A1">
          <w:rPr>
            <w:noProof/>
            <w:webHidden/>
          </w:rPr>
          <w:fldChar w:fldCharType="begin"/>
        </w:r>
        <w:r w:rsidR="001571A1">
          <w:rPr>
            <w:noProof/>
            <w:webHidden/>
          </w:rPr>
          <w:instrText xml:space="preserve"> PAGEREF _Toc493094916 \h </w:instrText>
        </w:r>
        <w:r w:rsidR="001571A1">
          <w:rPr>
            <w:noProof/>
            <w:webHidden/>
          </w:rPr>
        </w:r>
        <w:r w:rsidR="001571A1">
          <w:rPr>
            <w:noProof/>
            <w:webHidden/>
          </w:rPr>
          <w:fldChar w:fldCharType="separate"/>
        </w:r>
        <w:r w:rsidR="00CD6112">
          <w:rPr>
            <w:noProof/>
            <w:webHidden/>
          </w:rPr>
          <w:t>6</w:t>
        </w:r>
        <w:r w:rsidR="001571A1">
          <w:rPr>
            <w:noProof/>
            <w:webHidden/>
          </w:rPr>
          <w:fldChar w:fldCharType="end"/>
        </w:r>
      </w:hyperlink>
    </w:p>
    <w:p w14:paraId="021DDC55" w14:textId="2AB01964" w:rsidR="001571A1" w:rsidRDefault="00612B40">
      <w:pPr>
        <w:pStyle w:val="TDC1"/>
        <w:rPr>
          <w:rFonts w:asciiTheme="minorHAnsi" w:eastAsiaTheme="minorEastAsia" w:hAnsiTheme="minorHAnsi" w:cstheme="minorBidi"/>
          <w:b w:val="0"/>
          <w:bCs w:val="0"/>
          <w:caps w:val="0"/>
          <w:noProof/>
          <w:sz w:val="22"/>
          <w:szCs w:val="22"/>
        </w:rPr>
      </w:pPr>
      <w:hyperlink w:anchor="_Toc493094917" w:history="1">
        <w:r w:rsidR="001571A1" w:rsidRPr="00F22375">
          <w:rPr>
            <w:rStyle w:val="Hipervnculo"/>
            <w:noProof/>
          </w:rPr>
          <w:t>2</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Metodologia</w:t>
        </w:r>
        <w:r w:rsidR="001571A1">
          <w:rPr>
            <w:noProof/>
            <w:webHidden/>
          </w:rPr>
          <w:tab/>
        </w:r>
        <w:r w:rsidR="001571A1">
          <w:rPr>
            <w:noProof/>
            <w:webHidden/>
          </w:rPr>
          <w:fldChar w:fldCharType="begin"/>
        </w:r>
        <w:r w:rsidR="001571A1">
          <w:rPr>
            <w:noProof/>
            <w:webHidden/>
          </w:rPr>
          <w:instrText xml:space="preserve"> PAGEREF _Toc493094917 \h </w:instrText>
        </w:r>
        <w:r w:rsidR="001571A1">
          <w:rPr>
            <w:noProof/>
            <w:webHidden/>
          </w:rPr>
        </w:r>
        <w:r w:rsidR="001571A1">
          <w:rPr>
            <w:noProof/>
            <w:webHidden/>
          </w:rPr>
          <w:fldChar w:fldCharType="separate"/>
        </w:r>
        <w:r w:rsidR="00CD6112">
          <w:rPr>
            <w:noProof/>
            <w:webHidden/>
          </w:rPr>
          <w:t>7</w:t>
        </w:r>
        <w:r w:rsidR="001571A1">
          <w:rPr>
            <w:noProof/>
            <w:webHidden/>
          </w:rPr>
          <w:fldChar w:fldCharType="end"/>
        </w:r>
      </w:hyperlink>
    </w:p>
    <w:p w14:paraId="4E9A4880" w14:textId="179FB4C1" w:rsidR="001571A1" w:rsidRDefault="00612B40">
      <w:pPr>
        <w:pStyle w:val="TDC1"/>
        <w:rPr>
          <w:rFonts w:asciiTheme="minorHAnsi" w:eastAsiaTheme="minorEastAsia" w:hAnsiTheme="minorHAnsi" w:cstheme="minorBidi"/>
          <w:b w:val="0"/>
          <w:bCs w:val="0"/>
          <w:caps w:val="0"/>
          <w:noProof/>
          <w:sz w:val="22"/>
          <w:szCs w:val="22"/>
        </w:rPr>
      </w:pPr>
      <w:hyperlink w:anchor="_Toc493094918" w:history="1">
        <w:r w:rsidR="001571A1" w:rsidRPr="00F22375">
          <w:rPr>
            <w:rStyle w:val="Hipervnculo"/>
            <w:noProof/>
          </w:rPr>
          <w:t>3</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Descritivo Geral</w:t>
        </w:r>
        <w:r w:rsidR="001571A1">
          <w:rPr>
            <w:noProof/>
            <w:webHidden/>
          </w:rPr>
          <w:tab/>
        </w:r>
        <w:r w:rsidR="001571A1">
          <w:rPr>
            <w:noProof/>
            <w:webHidden/>
          </w:rPr>
          <w:fldChar w:fldCharType="begin"/>
        </w:r>
        <w:r w:rsidR="001571A1">
          <w:rPr>
            <w:noProof/>
            <w:webHidden/>
          </w:rPr>
          <w:instrText xml:space="preserve"> PAGEREF _Toc493094918 \h </w:instrText>
        </w:r>
        <w:r w:rsidR="001571A1">
          <w:rPr>
            <w:noProof/>
            <w:webHidden/>
          </w:rPr>
        </w:r>
        <w:r w:rsidR="001571A1">
          <w:rPr>
            <w:noProof/>
            <w:webHidden/>
          </w:rPr>
          <w:fldChar w:fldCharType="separate"/>
        </w:r>
        <w:r w:rsidR="00CD6112">
          <w:rPr>
            <w:noProof/>
            <w:webHidden/>
          </w:rPr>
          <w:t>9</w:t>
        </w:r>
        <w:r w:rsidR="001571A1">
          <w:rPr>
            <w:noProof/>
            <w:webHidden/>
          </w:rPr>
          <w:fldChar w:fldCharType="end"/>
        </w:r>
      </w:hyperlink>
    </w:p>
    <w:p w14:paraId="0FDC2302" w14:textId="7551642B" w:rsidR="001571A1" w:rsidRDefault="00612B40">
      <w:pPr>
        <w:pStyle w:val="TDC2"/>
        <w:rPr>
          <w:rFonts w:asciiTheme="minorHAnsi" w:eastAsiaTheme="minorEastAsia" w:hAnsiTheme="minorHAnsi" w:cstheme="minorBidi"/>
          <w:smallCaps w:val="0"/>
          <w:noProof/>
          <w:sz w:val="22"/>
          <w:szCs w:val="22"/>
        </w:rPr>
      </w:pPr>
      <w:hyperlink w:anchor="_Toc493094919" w:history="1">
        <w:r w:rsidR="001571A1" w:rsidRPr="00F22375">
          <w:rPr>
            <w:rStyle w:val="Hipervnculo"/>
            <w:noProof/>
          </w:rPr>
          <w:t>3.1</w:t>
        </w:r>
        <w:r w:rsidR="001571A1">
          <w:rPr>
            <w:rFonts w:asciiTheme="minorHAnsi" w:eastAsiaTheme="minorEastAsia" w:hAnsiTheme="minorHAnsi" w:cstheme="minorBidi"/>
            <w:smallCaps w:val="0"/>
            <w:noProof/>
            <w:sz w:val="22"/>
            <w:szCs w:val="22"/>
          </w:rPr>
          <w:tab/>
        </w:r>
        <w:r w:rsidR="001571A1" w:rsidRPr="00F22375">
          <w:rPr>
            <w:rStyle w:val="Hipervnculo"/>
            <w:noProof/>
          </w:rPr>
          <w:t>Quantidade total de municípios atendidos</w:t>
        </w:r>
        <w:r w:rsidR="001571A1">
          <w:rPr>
            <w:noProof/>
            <w:webHidden/>
          </w:rPr>
          <w:tab/>
        </w:r>
        <w:r w:rsidR="001571A1">
          <w:rPr>
            <w:noProof/>
            <w:webHidden/>
          </w:rPr>
          <w:fldChar w:fldCharType="begin"/>
        </w:r>
        <w:r w:rsidR="001571A1">
          <w:rPr>
            <w:noProof/>
            <w:webHidden/>
          </w:rPr>
          <w:instrText xml:space="preserve"> PAGEREF _Toc493094919 \h </w:instrText>
        </w:r>
        <w:r w:rsidR="001571A1">
          <w:rPr>
            <w:noProof/>
            <w:webHidden/>
          </w:rPr>
        </w:r>
        <w:r w:rsidR="001571A1">
          <w:rPr>
            <w:noProof/>
            <w:webHidden/>
          </w:rPr>
          <w:fldChar w:fldCharType="separate"/>
        </w:r>
        <w:r w:rsidR="00CD6112">
          <w:rPr>
            <w:noProof/>
            <w:webHidden/>
          </w:rPr>
          <w:t>9</w:t>
        </w:r>
        <w:r w:rsidR="001571A1">
          <w:rPr>
            <w:noProof/>
            <w:webHidden/>
          </w:rPr>
          <w:fldChar w:fldCharType="end"/>
        </w:r>
      </w:hyperlink>
    </w:p>
    <w:p w14:paraId="0B37B94E" w14:textId="4E7CAE4C" w:rsidR="001571A1" w:rsidRDefault="00612B40">
      <w:pPr>
        <w:pStyle w:val="TDC2"/>
        <w:rPr>
          <w:rFonts w:asciiTheme="minorHAnsi" w:eastAsiaTheme="minorEastAsia" w:hAnsiTheme="minorHAnsi" w:cstheme="minorBidi"/>
          <w:smallCaps w:val="0"/>
          <w:noProof/>
          <w:sz w:val="22"/>
          <w:szCs w:val="22"/>
        </w:rPr>
      </w:pPr>
      <w:hyperlink w:anchor="_Toc493094920" w:history="1">
        <w:r w:rsidR="001571A1" w:rsidRPr="00F22375">
          <w:rPr>
            <w:rStyle w:val="Hipervnculo"/>
            <w:noProof/>
          </w:rPr>
          <w:t>3.2</w:t>
        </w:r>
        <w:r w:rsidR="001571A1">
          <w:rPr>
            <w:rFonts w:asciiTheme="minorHAnsi" w:eastAsiaTheme="minorEastAsia" w:hAnsiTheme="minorHAnsi" w:cstheme="minorBidi"/>
            <w:smallCaps w:val="0"/>
            <w:noProof/>
            <w:sz w:val="22"/>
            <w:szCs w:val="22"/>
          </w:rPr>
          <w:tab/>
        </w:r>
        <w:r w:rsidR="001571A1" w:rsidRPr="00F22375">
          <w:rPr>
            <w:rStyle w:val="Hipervnculo"/>
            <w:noProof/>
          </w:rPr>
          <w:t>Tarifa média praticada</w:t>
        </w:r>
        <w:r w:rsidR="001571A1">
          <w:rPr>
            <w:noProof/>
            <w:webHidden/>
          </w:rPr>
          <w:tab/>
        </w:r>
        <w:r w:rsidR="001571A1">
          <w:rPr>
            <w:noProof/>
            <w:webHidden/>
          </w:rPr>
          <w:fldChar w:fldCharType="begin"/>
        </w:r>
        <w:r w:rsidR="001571A1">
          <w:rPr>
            <w:noProof/>
            <w:webHidden/>
          </w:rPr>
          <w:instrText xml:space="preserve"> PAGEREF _Toc493094920 \h </w:instrText>
        </w:r>
        <w:r w:rsidR="001571A1">
          <w:rPr>
            <w:noProof/>
            <w:webHidden/>
          </w:rPr>
        </w:r>
        <w:r w:rsidR="001571A1">
          <w:rPr>
            <w:noProof/>
            <w:webHidden/>
          </w:rPr>
          <w:fldChar w:fldCharType="separate"/>
        </w:r>
        <w:r w:rsidR="00CD6112">
          <w:rPr>
            <w:noProof/>
            <w:webHidden/>
          </w:rPr>
          <w:t>12</w:t>
        </w:r>
        <w:r w:rsidR="001571A1">
          <w:rPr>
            <w:noProof/>
            <w:webHidden/>
          </w:rPr>
          <w:fldChar w:fldCharType="end"/>
        </w:r>
      </w:hyperlink>
    </w:p>
    <w:p w14:paraId="73CC93F0" w14:textId="20376A02" w:rsidR="001571A1" w:rsidRDefault="00612B40">
      <w:pPr>
        <w:pStyle w:val="TDC2"/>
        <w:rPr>
          <w:rFonts w:asciiTheme="minorHAnsi" w:eastAsiaTheme="minorEastAsia" w:hAnsiTheme="minorHAnsi" w:cstheme="minorBidi"/>
          <w:smallCaps w:val="0"/>
          <w:noProof/>
          <w:sz w:val="22"/>
          <w:szCs w:val="22"/>
        </w:rPr>
      </w:pPr>
      <w:hyperlink w:anchor="_Toc493094921" w:history="1">
        <w:r w:rsidR="001571A1" w:rsidRPr="00F22375">
          <w:rPr>
            <w:rStyle w:val="Hipervnculo"/>
            <w:noProof/>
          </w:rPr>
          <w:t>3.3</w:t>
        </w:r>
        <w:r w:rsidR="001571A1">
          <w:rPr>
            <w:rFonts w:asciiTheme="minorHAnsi" w:eastAsiaTheme="minorEastAsia" w:hAnsiTheme="minorHAnsi" w:cstheme="minorBidi"/>
            <w:smallCaps w:val="0"/>
            <w:noProof/>
            <w:sz w:val="22"/>
            <w:szCs w:val="22"/>
          </w:rPr>
          <w:tab/>
        </w:r>
        <w:r w:rsidR="001571A1" w:rsidRPr="00F22375">
          <w:rPr>
            <w:rStyle w:val="Hipervnculo"/>
            <w:noProof/>
          </w:rPr>
          <w:t>Consumo médio de água</w:t>
        </w:r>
        <w:r w:rsidR="001571A1">
          <w:rPr>
            <w:noProof/>
            <w:webHidden/>
          </w:rPr>
          <w:tab/>
        </w:r>
        <w:r w:rsidR="001571A1">
          <w:rPr>
            <w:noProof/>
            <w:webHidden/>
          </w:rPr>
          <w:fldChar w:fldCharType="begin"/>
        </w:r>
        <w:r w:rsidR="001571A1">
          <w:rPr>
            <w:noProof/>
            <w:webHidden/>
          </w:rPr>
          <w:instrText xml:space="preserve"> PAGEREF _Toc493094921 \h </w:instrText>
        </w:r>
        <w:r w:rsidR="001571A1">
          <w:rPr>
            <w:noProof/>
            <w:webHidden/>
          </w:rPr>
        </w:r>
        <w:r w:rsidR="001571A1">
          <w:rPr>
            <w:noProof/>
            <w:webHidden/>
          </w:rPr>
          <w:fldChar w:fldCharType="separate"/>
        </w:r>
        <w:r w:rsidR="00CD6112">
          <w:rPr>
            <w:noProof/>
            <w:webHidden/>
          </w:rPr>
          <w:t>14</w:t>
        </w:r>
        <w:r w:rsidR="001571A1">
          <w:rPr>
            <w:noProof/>
            <w:webHidden/>
          </w:rPr>
          <w:fldChar w:fldCharType="end"/>
        </w:r>
      </w:hyperlink>
    </w:p>
    <w:p w14:paraId="0A545DA5" w14:textId="08EAA4BF" w:rsidR="001571A1" w:rsidRDefault="00612B40">
      <w:pPr>
        <w:pStyle w:val="TDC2"/>
        <w:rPr>
          <w:rFonts w:asciiTheme="minorHAnsi" w:eastAsiaTheme="minorEastAsia" w:hAnsiTheme="minorHAnsi" w:cstheme="minorBidi"/>
          <w:smallCaps w:val="0"/>
          <w:noProof/>
          <w:sz w:val="22"/>
          <w:szCs w:val="22"/>
        </w:rPr>
      </w:pPr>
      <w:hyperlink w:anchor="_Toc493094922" w:history="1">
        <w:r w:rsidR="001571A1" w:rsidRPr="00F22375">
          <w:rPr>
            <w:rStyle w:val="Hipervnculo"/>
            <w:noProof/>
          </w:rPr>
          <w:t>3.4</w:t>
        </w:r>
        <w:r w:rsidR="001571A1">
          <w:rPr>
            <w:rFonts w:asciiTheme="minorHAnsi" w:eastAsiaTheme="minorEastAsia" w:hAnsiTheme="minorHAnsi" w:cstheme="minorBidi"/>
            <w:smallCaps w:val="0"/>
            <w:noProof/>
            <w:sz w:val="22"/>
            <w:szCs w:val="22"/>
          </w:rPr>
          <w:tab/>
        </w:r>
        <w:r w:rsidR="001571A1" w:rsidRPr="00F22375">
          <w:rPr>
            <w:rStyle w:val="Hipervnculo"/>
            <w:noProof/>
          </w:rPr>
          <w:t>Volume de água disponibilizado</w:t>
        </w:r>
        <w:r w:rsidR="001571A1">
          <w:rPr>
            <w:noProof/>
            <w:webHidden/>
          </w:rPr>
          <w:tab/>
        </w:r>
        <w:r w:rsidR="001571A1">
          <w:rPr>
            <w:noProof/>
            <w:webHidden/>
          </w:rPr>
          <w:fldChar w:fldCharType="begin"/>
        </w:r>
        <w:r w:rsidR="001571A1">
          <w:rPr>
            <w:noProof/>
            <w:webHidden/>
          </w:rPr>
          <w:instrText xml:space="preserve"> PAGEREF _Toc493094922 \h </w:instrText>
        </w:r>
        <w:r w:rsidR="001571A1">
          <w:rPr>
            <w:noProof/>
            <w:webHidden/>
          </w:rPr>
        </w:r>
        <w:r w:rsidR="001571A1">
          <w:rPr>
            <w:noProof/>
            <w:webHidden/>
          </w:rPr>
          <w:fldChar w:fldCharType="separate"/>
        </w:r>
        <w:r w:rsidR="00CD6112">
          <w:rPr>
            <w:noProof/>
            <w:webHidden/>
          </w:rPr>
          <w:t>16</w:t>
        </w:r>
        <w:r w:rsidR="001571A1">
          <w:rPr>
            <w:noProof/>
            <w:webHidden/>
          </w:rPr>
          <w:fldChar w:fldCharType="end"/>
        </w:r>
      </w:hyperlink>
    </w:p>
    <w:p w14:paraId="6199355E" w14:textId="2CBEFAF2" w:rsidR="001571A1" w:rsidRDefault="00612B40">
      <w:pPr>
        <w:pStyle w:val="TDC1"/>
        <w:rPr>
          <w:rFonts w:asciiTheme="minorHAnsi" w:eastAsiaTheme="minorEastAsia" w:hAnsiTheme="minorHAnsi" w:cstheme="minorBidi"/>
          <w:b w:val="0"/>
          <w:bCs w:val="0"/>
          <w:caps w:val="0"/>
          <w:noProof/>
          <w:sz w:val="22"/>
          <w:szCs w:val="22"/>
        </w:rPr>
      </w:pPr>
      <w:hyperlink w:anchor="_Toc493094923" w:history="1">
        <w:r w:rsidR="001571A1" w:rsidRPr="00F22375">
          <w:rPr>
            <w:rStyle w:val="Hipervnculo"/>
            <w:noProof/>
          </w:rPr>
          <w:t>4</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Atendimento</w:t>
        </w:r>
        <w:r w:rsidR="001571A1">
          <w:rPr>
            <w:noProof/>
            <w:webHidden/>
          </w:rPr>
          <w:tab/>
        </w:r>
        <w:r w:rsidR="001571A1">
          <w:rPr>
            <w:noProof/>
            <w:webHidden/>
          </w:rPr>
          <w:fldChar w:fldCharType="begin"/>
        </w:r>
        <w:r w:rsidR="001571A1">
          <w:rPr>
            <w:noProof/>
            <w:webHidden/>
          </w:rPr>
          <w:instrText xml:space="preserve"> PAGEREF _Toc493094923 \h </w:instrText>
        </w:r>
        <w:r w:rsidR="001571A1">
          <w:rPr>
            <w:noProof/>
            <w:webHidden/>
          </w:rPr>
        </w:r>
        <w:r w:rsidR="001571A1">
          <w:rPr>
            <w:noProof/>
            <w:webHidden/>
          </w:rPr>
          <w:fldChar w:fldCharType="separate"/>
        </w:r>
        <w:r w:rsidR="00CD6112">
          <w:rPr>
            <w:noProof/>
            <w:webHidden/>
          </w:rPr>
          <w:t>18</w:t>
        </w:r>
        <w:r w:rsidR="001571A1">
          <w:rPr>
            <w:noProof/>
            <w:webHidden/>
          </w:rPr>
          <w:fldChar w:fldCharType="end"/>
        </w:r>
      </w:hyperlink>
    </w:p>
    <w:p w14:paraId="4DA13A5A" w14:textId="35ADDB4C" w:rsidR="001571A1" w:rsidRDefault="00612B40">
      <w:pPr>
        <w:pStyle w:val="TDC2"/>
        <w:rPr>
          <w:rFonts w:asciiTheme="minorHAnsi" w:eastAsiaTheme="minorEastAsia" w:hAnsiTheme="minorHAnsi" w:cstheme="minorBidi"/>
          <w:smallCaps w:val="0"/>
          <w:noProof/>
          <w:sz w:val="22"/>
          <w:szCs w:val="22"/>
        </w:rPr>
      </w:pPr>
      <w:hyperlink w:anchor="_Toc493094924" w:history="1">
        <w:r w:rsidR="001571A1" w:rsidRPr="00F22375">
          <w:rPr>
            <w:rStyle w:val="Hipervnculo"/>
            <w:noProof/>
          </w:rPr>
          <w:t>4.1</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coleta de esgoto</w:t>
        </w:r>
        <w:r w:rsidR="001571A1">
          <w:rPr>
            <w:noProof/>
            <w:webHidden/>
          </w:rPr>
          <w:tab/>
        </w:r>
        <w:r w:rsidR="001571A1">
          <w:rPr>
            <w:noProof/>
            <w:webHidden/>
          </w:rPr>
          <w:fldChar w:fldCharType="begin"/>
        </w:r>
        <w:r w:rsidR="001571A1">
          <w:rPr>
            <w:noProof/>
            <w:webHidden/>
          </w:rPr>
          <w:instrText xml:space="preserve"> PAGEREF _Toc493094924 \h </w:instrText>
        </w:r>
        <w:r w:rsidR="001571A1">
          <w:rPr>
            <w:noProof/>
            <w:webHidden/>
          </w:rPr>
        </w:r>
        <w:r w:rsidR="001571A1">
          <w:rPr>
            <w:noProof/>
            <w:webHidden/>
          </w:rPr>
          <w:fldChar w:fldCharType="separate"/>
        </w:r>
        <w:r w:rsidR="00CD6112">
          <w:rPr>
            <w:noProof/>
            <w:webHidden/>
          </w:rPr>
          <w:t>20</w:t>
        </w:r>
        <w:r w:rsidR="001571A1">
          <w:rPr>
            <w:noProof/>
            <w:webHidden/>
          </w:rPr>
          <w:fldChar w:fldCharType="end"/>
        </w:r>
      </w:hyperlink>
    </w:p>
    <w:p w14:paraId="3D487B6B" w14:textId="69C2D417" w:rsidR="001571A1" w:rsidRDefault="00612B40">
      <w:pPr>
        <w:pStyle w:val="TDC2"/>
        <w:rPr>
          <w:rFonts w:asciiTheme="minorHAnsi" w:eastAsiaTheme="minorEastAsia" w:hAnsiTheme="minorHAnsi" w:cstheme="minorBidi"/>
          <w:smallCaps w:val="0"/>
          <w:noProof/>
          <w:sz w:val="22"/>
          <w:szCs w:val="22"/>
        </w:rPr>
      </w:pPr>
      <w:hyperlink w:anchor="_Toc493094925" w:history="1">
        <w:r w:rsidR="001571A1" w:rsidRPr="00F22375">
          <w:rPr>
            <w:rStyle w:val="Hipervnculo"/>
            <w:noProof/>
          </w:rPr>
          <w:t>4.2</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esgoto tratado</w:t>
        </w:r>
        <w:r w:rsidR="001571A1">
          <w:rPr>
            <w:noProof/>
            <w:webHidden/>
          </w:rPr>
          <w:tab/>
        </w:r>
        <w:r w:rsidR="001571A1">
          <w:rPr>
            <w:noProof/>
            <w:webHidden/>
          </w:rPr>
          <w:fldChar w:fldCharType="begin"/>
        </w:r>
        <w:r w:rsidR="001571A1">
          <w:rPr>
            <w:noProof/>
            <w:webHidden/>
          </w:rPr>
          <w:instrText xml:space="preserve"> PAGEREF _Toc493094925 \h </w:instrText>
        </w:r>
        <w:r w:rsidR="001571A1">
          <w:rPr>
            <w:noProof/>
            <w:webHidden/>
          </w:rPr>
        </w:r>
        <w:r w:rsidR="001571A1">
          <w:rPr>
            <w:noProof/>
            <w:webHidden/>
          </w:rPr>
          <w:fldChar w:fldCharType="separate"/>
        </w:r>
        <w:r w:rsidR="00CD6112">
          <w:rPr>
            <w:noProof/>
            <w:webHidden/>
          </w:rPr>
          <w:t>21</w:t>
        </w:r>
        <w:r w:rsidR="001571A1">
          <w:rPr>
            <w:noProof/>
            <w:webHidden/>
          </w:rPr>
          <w:fldChar w:fldCharType="end"/>
        </w:r>
      </w:hyperlink>
    </w:p>
    <w:p w14:paraId="20B380DA" w14:textId="724F5C41" w:rsidR="001571A1" w:rsidRDefault="00612B40">
      <w:pPr>
        <w:pStyle w:val="TDC2"/>
        <w:rPr>
          <w:rFonts w:asciiTheme="minorHAnsi" w:eastAsiaTheme="minorEastAsia" w:hAnsiTheme="minorHAnsi" w:cstheme="minorBidi"/>
          <w:smallCaps w:val="0"/>
          <w:noProof/>
          <w:sz w:val="22"/>
          <w:szCs w:val="22"/>
        </w:rPr>
      </w:pPr>
      <w:hyperlink w:anchor="_Toc493094926" w:history="1">
        <w:r w:rsidR="001571A1" w:rsidRPr="00F22375">
          <w:rPr>
            <w:rStyle w:val="Hipervnculo"/>
            <w:noProof/>
          </w:rPr>
          <w:t>4.3</w:t>
        </w:r>
        <w:r w:rsidR="001571A1">
          <w:rPr>
            <w:rFonts w:asciiTheme="minorHAnsi" w:eastAsiaTheme="minorEastAsia" w:hAnsiTheme="minorHAnsi" w:cstheme="minorBidi"/>
            <w:smallCaps w:val="0"/>
            <w:noProof/>
            <w:sz w:val="22"/>
            <w:szCs w:val="22"/>
          </w:rPr>
          <w:tab/>
        </w:r>
        <w:r w:rsidR="001571A1" w:rsidRPr="00F22375">
          <w:rPr>
            <w:rStyle w:val="Hipervnculo"/>
            <w:noProof/>
          </w:rPr>
          <w:t>Índices de atendimento</w:t>
        </w:r>
        <w:r w:rsidR="001571A1">
          <w:rPr>
            <w:noProof/>
            <w:webHidden/>
          </w:rPr>
          <w:tab/>
        </w:r>
        <w:r w:rsidR="001571A1">
          <w:rPr>
            <w:noProof/>
            <w:webHidden/>
          </w:rPr>
          <w:fldChar w:fldCharType="begin"/>
        </w:r>
        <w:r w:rsidR="001571A1">
          <w:rPr>
            <w:noProof/>
            <w:webHidden/>
          </w:rPr>
          <w:instrText xml:space="preserve"> PAGEREF _Toc493094926 \h </w:instrText>
        </w:r>
        <w:r w:rsidR="001571A1">
          <w:rPr>
            <w:noProof/>
            <w:webHidden/>
          </w:rPr>
        </w:r>
        <w:r w:rsidR="001571A1">
          <w:rPr>
            <w:noProof/>
            <w:webHidden/>
          </w:rPr>
          <w:fldChar w:fldCharType="separate"/>
        </w:r>
        <w:r w:rsidR="00CD6112">
          <w:rPr>
            <w:noProof/>
            <w:webHidden/>
          </w:rPr>
          <w:t>22</w:t>
        </w:r>
        <w:r w:rsidR="001571A1">
          <w:rPr>
            <w:noProof/>
            <w:webHidden/>
          </w:rPr>
          <w:fldChar w:fldCharType="end"/>
        </w:r>
      </w:hyperlink>
    </w:p>
    <w:p w14:paraId="216301E4" w14:textId="69932B03" w:rsidR="001571A1" w:rsidRDefault="00612B40">
      <w:pPr>
        <w:pStyle w:val="TDC1"/>
        <w:rPr>
          <w:rFonts w:asciiTheme="minorHAnsi" w:eastAsiaTheme="minorEastAsia" w:hAnsiTheme="minorHAnsi" w:cstheme="minorBidi"/>
          <w:b w:val="0"/>
          <w:bCs w:val="0"/>
          <w:caps w:val="0"/>
          <w:noProof/>
          <w:sz w:val="22"/>
          <w:szCs w:val="22"/>
        </w:rPr>
      </w:pPr>
      <w:hyperlink w:anchor="_Toc493094927" w:history="1">
        <w:r w:rsidR="001571A1" w:rsidRPr="00F22375">
          <w:rPr>
            <w:rStyle w:val="Hipervnculo"/>
            <w:noProof/>
          </w:rPr>
          <w:t>5</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Eficiência Operacional</w:t>
        </w:r>
        <w:r w:rsidR="001571A1">
          <w:rPr>
            <w:noProof/>
            <w:webHidden/>
          </w:rPr>
          <w:tab/>
        </w:r>
        <w:r w:rsidR="001571A1">
          <w:rPr>
            <w:noProof/>
            <w:webHidden/>
          </w:rPr>
          <w:fldChar w:fldCharType="begin"/>
        </w:r>
        <w:r w:rsidR="001571A1">
          <w:rPr>
            <w:noProof/>
            <w:webHidden/>
          </w:rPr>
          <w:instrText xml:space="preserve"> PAGEREF _Toc493094927 \h </w:instrText>
        </w:r>
        <w:r w:rsidR="001571A1">
          <w:rPr>
            <w:noProof/>
            <w:webHidden/>
          </w:rPr>
        </w:r>
        <w:r w:rsidR="001571A1">
          <w:rPr>
            <w:noProof/>
            <w:webHidden/>
          </w:rPr>
          <w:fldChar w:fldCharType="separate"/>
        </w:r>
        <w:r w:rsidR="00CD6112">
          <w:rPr>
            <w:noProof/>
            <w:webHidden/>
          </w:rPr>
          <w:t>27</w:t>
        </w:r>
        <w:r w:rsidR="001571A1">
          <w:rPr>
            <w:noProof/>
            <w:webHidden/>
          </w:rPr>
          <w:fldChar w:fldCharType="end"/>
        </w:r>
      </w:hyperlink>
    </w:p>
    <w:p w14:paraId="6E4C415F" w14:textId="4DE6069A" w:rsidR="001571A1" w:rsidRDefault="00612B40">
      <w:pPr>
        <w:pStyle w:val="TDC2"/>
        <w:rPr>
          <w:rFonts w:asciiTheme="minorHAnsi" w:eastAsiaTheme="minorEastAsia" w:hAnsiTheme="minorHAnsi" w:cstheme="minorBidi"/>
          <w:smallCaps w:val="0"/>
          <w:noProof/>
          <w:sz w:val="22"/>
          <w:szCs w:val="22"/>
        </w:rPr>
      </w:pPr>
      <w:hyperlink w:anchor="_Toc493094928" w:history="1">
        <w:r w:rsidR="001571A1" w:rsidRPr="00F22375">
          <w:rPr>
            <w:rStyle w:val="Hipervnculo"/>
            <w:noProof/>
          </w:rPr>
          <w:t>5.1</w:t>
        </w:r>
        <w:r w:rsidR="001571A1">
          <w:rPr>
            <w:rFonts w:asciiTheme="minorHAnsi" w:eastAsiaTheme="minorEastAsia" w:hAnsiTheme="minorHAnsi" w:cstheme="minorBidi"/>
            <w:smallCaps w:val="0"/>
            <w:noProof/>
            <w:sz w:val="22"/>
            <w:szCs w:val="22"/>
          </w:rPr>
          <w:tab/>
        </w:r>
        <w:r w:rsidR="001571A1" w:rsidRPr="00F22375">
          <w:rPr>
            <w:rStyle w:val="Hipervnculo"/>
            <w:noProof/>
          </w:rPr>
          <w:t>Índices de produtividade de economias ativas</w:t>
        </w:r>
        <w:r w:rsidR="001571A1">
          <w:rPr>
            <w:noProof/>
            <w:webHidden/>
          </w:rPr>
          <w:tab/>
        </w:r>
        <w:r w:rsidR="001571A1">
          <w:rPr>
            <w:noProof/>
            <w:webHidden/>
          </w:rPr>
          <w:fldChar w:fldCharType="begin"/>
        </w:r>
        <w:r w:rsidR="001571A1">
          <w:rPr>
            <w:noProof/>
            <w:webHidden/>
          </w:rPr>
          <w:instrText xml:space="preserve"> PAGEREF _Toc493094928 \h </w:instrText>
        </w:r>
        <w:r w:rsidR="001571A1">
          <w:rPr>
            <w:noProof/>
            <w:webHidden/>
          </w:rPr>
        </w:r>
        <w:r w:rsidR="001571A1">
          <w:rPr>
            <w:noProof/>
            <w:webHidden/>
          </w:rPr>
          <w:fldChar w:fldCharType="separate"/>
        </w:r>
        <w:r w:rsidR="00CD6112">
          <w:rPr>
            <w:noProof/>
            <w:webHidden/>
          </w:rPr>
          <w:t>28</w:t>
        </w:r>
        <w:r w:rsidR="001571A1">
          <w:rPr>
            <w:noProof/>
            <w:webHidden/>
          </w:rPr>
          <w:fldChar w:fldCharType="end"/>
        </w:r>
      </w:hyperlink>
    </w:p>
    <w:p w14:paraId="7E74C687" w14:textId="0C982D19" w:rsidR="001571A1" w:rsidRDefault="00612B40">
      <w:pPr>
        <w:pStyle w:val="TDC2"/>
        <w:rPr>
          <w:rFonts w:asciiTheme="minorHAnsi" w:eastAsiaTheme="minorEastAsia" w:hAnsiTheme="minorHAnsi" w:cstheme="minorBidi"/>
          <w:smallCaps w:val="0"/>
          <w:noProof/>
          <w:sz w:val="22"/>
          <w:szCs w:val="22"/>
        </w:rPr>
      </w:pPr>
      <w:hyperlink w:anchor="_Toc493094929" w:history="1">
        <w:r w:rsidR="001571A1" w:rsidRPr="00F22375">
          <w:rPr>
            <w:rStyle w:val="Hipervnculo"/>
            <w:noProof/>
          </w:rPr>
          <w:t>5.2</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despesas de exploração por m</w:t>
        </w:r>
        <w:r w:rsidR="001571A1" w:rsidRPr="00F22375">
          <w:rPr>
            <w:rStyle w:val="Hipervnculo"/>
            <w:noProof/>
            <w:vertAlign w:val="superscript"/>
          </w:rPr>
          <w:t>3</w:t>
        </w:r>
        <w:r w:rsidR="001571A1" w:rsidRPr="00F22375">
          <w:rPr>
            <w:rStyle w:val="Hipervnculo"/>
            <w:noProof/>
          </w:rPr>
          <w:t xml:space="preserve"> faturado</w:t>
        </w:r>
        <w:r w:rsidR="001571A1">
          <w:rPr>
            <w:noProof/>
            <w:webHidden/>
          </w:rPr>
          <w:tab/>
        </w:r>
        <w:r w:rsidR="001571A1">
          <w:rPr>
            <w:noProof/>
            <w:webHidden/>
          </w:rPr>
          <w:fldChar w:fldCharType="begin"/>
        </w:r>
        <w:r w:rsidR="001571A1">
          <w:rPr>
            <w:noProof/>
            <w:webHidden/>
          </w:rPr>
          <w:instrText xml:space="preserve"> PAGEREF _Toc493094929 \h </w:instrText>
        </w:r>
        <w:r w:rsidR="001571A1">
          <w:rPr>
            <w:noProof/>
            <w:webHidden/>
          </w:rPr>
        </w:r>
        <w:r w:rsidR="001571A1">
          <w:rPr>
            <w:noProof/>
            <w:webHidden/>
          </w:rPr>
          <w:fldChar w:fldCharType="separate"/>
        </w:r>
        <w:r w:rsidR="00CD6112">
          <w:rPr>
            <w:noProof/>
            <w:webHidden/>
          </w:rPr>
          <w:t>30</w:t>
        </w:r>
        <w:r w:rsidR="001571A1">
          <w:rPr>
            <w:noProof/>
            <w:webHidden/>
          </w:rPr>
          <w:fldChar w:fldCharType="end"/>
        </w:r>
      </w:hyperlink>
    </w:p>
    <w:p w14:paraId="60F13455" w14:textId="4506C1D1" w:rsidR="001571A1" w:rsidRDefault="00612B40">
      <w:pPr>
        <w:pStyle w:val="TDC2"/>
        <w:rPr>
          <w:rFonts w:asciiTheme="minorHAnsi" w:eastAsiaTheme="minorEastAsia" w:hAnsiTheme="minorHAnsi" w:cstheme="minorBidi"/>
          <w:smallCaps w:val="0"/>
          <w:noProof/>
          <w:sz w:val="22"/>
          <w:szCs w:val="22"/>
        </w:rPr>
      </w:pPr>
      <w:hyperlink w:anchor="_Toc493094930" w:history="1">
        <w:r w:rsidR="001571A1" w:rsidRPr="00F22375">
          <w:rPr>
            <w:rStyle w:val="Hipervnculo"/>
            <w:noProof/>
          </w:rPr>
          <w:t>5.3</w:t>
        </w:r>
        <w:r w:rsidR="001571A1">
          <w:rPr>
            <w:rFonts w:asciiTheme="minorHAnsi" w:eastAsiaTheme="minorEastAsia" w:hAnsiTheme="minorHAnsi" w:cstheme="minorBidi"/>
            <w:smallCaps w:val="0"/>
            <w:noProof/>
            <w:sz w:val="22"/>
            <w:szCs w:val="22"/>
          </w:rPr>
          <w:tab/>
        </w:r>
        <w:r w:rsidR="001571A1" w:rsidRPr="00F22375">
          <w:rPr>
            <w:rStyle w:val="Hipervnculo"/>
            <w:noProof/>
          </w:rPr>
          <w:t>Índices de perdas</w:t>
        </w:r>
        <w:r w:rsidR="001571A1">
          <w:rPr>
            <w:noProof/>
            <w:webHidden/>
          </w:rPr>
          <w:tab/>
        </w:r>
        <w:r w:rsidR="001571A1">
          <w:rPr>
            <w:noProof/>
            <w:webHidden/>
          </w:rPr>
          <w:fldChar w:fldCharType="begin"/>
        </w:r>
        <w:r w:rsidR="001571A1">
          <w:rPr>
            <w:noProof/>
            <w:webHidden/>
          </w:rPr>
          <w:instrText xml:space="preserve"> PAGEREF _Toc493094930 \h </w:instrText>
        </w:r>
        <w:r w:rsidR="001571A1">
          <w:rPr>
            <w:noProof/>
            <w:webHidden/>
          </w:rPr>
        </w:r>
        <w:r w:rsidR="001571A1">
          <w:rPr>
            <w:noProof/>
            <w:webHidden/>
          </w:rPr>
          <w:fldChar w:fldCharType="separate"/>
        </w:r>
        <w:r w:rsidR="00CD6112">
          <w:rPr>
            <w:noProof/>
            <w:webHidden/>
          </w:rPr>
          <w:t>31</w:t>
        </w:r>
        <w:r w:rsidR="001571A1">
          <w:rPr>
            <w:noProof/>
            <w:webHidden/>
          </w:rPr>
          <w:fldChar w:fldCharType="end"/>
        </w:r>
      </w:hyperlink>
    </w:p>
    <w:p w14:paraId="2071947F" w14:textId="2F464F6F" w:rsidR="001571A1" w:rsidRDefault="00612B40">
      <w:pPr>
        <w:pStyle w:val="TDC1"/>
        <w:rPr>
          <w:rFonts w:asciiTheme="minorHAnsi" w:eastAsiaTheme="minorEastAsia" w:hAnsiTheme="minorHAnsi" w:cstheme="minorBidi"/>
          <w:b w:val="0"/>
          <w:bCs w:val="0"/>
          <w:caps w:val="0"/>
          <w:noProof/>
          <w:sz w:val="22"/>
          <w:szCs w:val="22"/>
        </w:rPr>
      </w:pPr>
      <w:hyperlink w:anchor="_Toc493094931" w:history="1">
        <w:r w:rsidR="001571A1" w:rsidRPr="00F22375">
          <w:rPr>
            <w:rStyle w:val="Hipervnculo"/>
            <w:noProof/>
          </w:rPr>
          <w:t>6</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Eficiência de Gestão Corporativa</w:t>
        </w:r>
        <w:r w:rsidR="001571A1">
          <w:rPr>
            <w:noProof/>
            <w:webHidden/>
          </w:rPr>
          <w:tab/>
        </w:r>
        <w:r w:rsidR="001571A1">
          <w:rPr>
            <w:noProof/>
            <w:webHidden/>
          </w:rPr>
          <w:fldChar w:fldCharType="begin"/>
        </w:r>
        <w:r w:rsidR="001571A1">
          <w:rPr>
            <w:noProof/>
            <w:webHidden/>
          </w:rPr>
          <w:instrText xml:space="preserve"> PAGEREF _Toc493094931 \h </w:instrText>
        </w:r>
        <w:r w:rsidR="001571A1">
          <w:rPr>
            <w:noProof/>
            <w:webHidden/>
          </w:rPr>
        </w:r>
        <w:r w:rsidR="001571A1">
          <w:rPr>
            <w:noProof/>
            <w:webHidden/>
          </w:rPr>
          <w:fldChar w:fldCharType="separate"/>
        </w:r>
        <w:r w:rsidR="00CD6112">
          <w:rPr>
            <w:noProof/>
            <w:webHidden/>
          </w:rPr>
          <w:t>35</w:t>
        </w:r>
        <w:r w:rsidR="001571A1">
          <w:rPr>
            <w:noProof/>
            <w:webHidden/>
          </w:rPr>
          <w:fldChar w:fldCharType="end"/>
        </w:r>
      </w:hyperlink>
    </w:p>
    <w:p w14:paraId="405A8A07" w14:textId="37622D5E" w:rsidR="001571A1" w:rsidRDefault="00612B40">
      <w:pPr>
        <w:pStyle w:val="TDC2"/>
        <w:rPr>
          <w:rFonts w:asciiTheme="minorHAnsi" w:eastAsiaTheme="minorEastAsia" w:hAnsiTheme="minorHAnsi" w:cstheme="minorBidi"/>
          <w:smallCaps w:val="0"/>
          <w:noProof/>
          <w:sz w:val="22"/>
          <w:szCs w:val="22"/>
        </w:rPr>
      </w:pPr>
      <w:hyperlink w:anchor="_Toc493094932" w:history="1">
        <w:r w:rsidR="001571A1" w:rsidRPr="00F22375">
          <w:rPr>
            <w:rStyle w:val="Hipervnculo"/>
            <w:noProof/>
          </w:rPr>
          <w:t>6.1</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despesa total com serviços</w:t>
        </w:r>
        <w:r w:rsidR="001571A1">
          <w:rPr>
            <w:noProof/>
            <w:webHidden/>
          </w:rPr>
          <w:tab/>
        </w:r>
        <w:r w:rsidR="001571A1">
          <w:rPr>
            <w:noProof/>
            <w:webHidden/>
          </w:rPr>
          <w:fldChar w:fldCharType="begin"/>
        </w:r>
        <w:r w:rsidR="001571A1">
          <w:rPr>
            <w:noProof/>
            <w:webHidden/>
          </w:rPr>
          <w:instrText xml:space="preserve"> PAGEREF _Toc493094932 \h </w:instrText>
        </w:r>
        <w:r w:rsidR="001571A1">
          <w:rPr>
            <w:noProof/>
            <w:webHidden/>
          </w:rPr>
        </w:r>
        <w:r w:rsidR="001571A1">
          <w:rPr>
            <w:noProof/>
            <w:webHidden/>
          </w:rPr>
          <w:fldChar w:fldCharType="separate"/>
        </w:r>
        <w:r w:rsidR="00CD6112">
          <w:rPr>
            <w:noProof/>
            <w:webHidden/>
          </w:rPr>
          <w:t>36</w:t>
        </w:r>
        <w:r w:rsidR="001571A1">
          <w:rPr>
            <w:noProof/>
            <w:webHidden/>
          </w:rPr>
          <w:fldChar w:fldCharType="end"/>
        </w:r>
      </w:hyperlink>
    </w:p>
    <w:p w14:paraId="6C6E09BA" w14:textId="4C733308" w:rsidR="001571A1" w:rsidRDefault="00612B40">
      <w:pPr>
        <w:pStyle w:val="TDC2"/>
        <w:rPr>
          <w:rFonts w:asciiTheme="minorHAnsi" w:eastAsiaTheme="minorEastAsia" w:hAnsiTheme="minorHAnsi" w:cstheme="minorBidi"/>
          <w:smallCaps w:val="0"/>
          <w:noProof/>
          <w:sz w:val="22"/>
          <w:szCs w:val="22"/>
        </w:rPr>
      </w:pPr>
      <w:hyperlink w:anchor="_Toc493094933" w:history="1">
        <w:r w:rsidR="001571A1" w:rsidRPr="00F22375">
          <w:rPr>
            <w:rStyle w:val="Hipervnculo"/>
            <w:noProof/>
          </w:rPr>
          <w:t>6.2</w:t>
        </w:r>
        <w:r w:rsidR="001571A1">
          <w:rPr>
            <w:rFonts w:asciiTheme="minorHAnsi" w:eastAsiaTheme="minorEastAsia" w:hAnsiTheme="minorHAnsi" w:cstheme="minorBidi"/>
            <w:smallCaps w:val="0"/>
            <w:noProof/>
            <w:sz w:val="22"/>
            <w:szCs w:val="22"/>
          </w:rPr>
          <w:tab/>
        </w:r>
        <w:r w:rsidR="001571A1" w:rsidRPr="00F22375">
          <w:rPr>
            <w:rStyle w:val="Hipervnculo"/>
            <w:noProof/>
          </w:rPr>
          <w:t xml:space="preserve">Margem Operacional Sem Depreciação </w:t>
        </w:r>
        <w:r w:rsidR="001571A1">
          <w:rPr>
            <w:noProof/>
            <w:webHidden/>
          </w:rPr>
          <w:tab/>
        </w:r>
        <w:r w:rsidR="001571A1">
          <w:rPr>
            <w:noProof/>
            <w:webHidden/>
          </w:rPr>
          <w:fldChar w:fldCharType="begin"/>
        </w:r>
        <w:r w:rsidR="001571A1">
          <w:rPr>
            <w:noProof/>
            <w:webHidden/>
          </w:rPr>
          <w:instrText xml:space="preserve"> PAGEREF _Toc493094933 \h </w:instrText>
        </w:r>
        <w:r w:rsidR="001571A1">
          <w:rPr>
            <w:noProof/>
            <w:webHidden/>
          </w:rPr>
        </w:r>
        <w:r w:rsidR="001571A1">
          <w:rPr>
            <w:noProof/>
            <w:webHidden/>
          </w:rPr>
          <w:fldChar w:fldCharType="separate"/>
        </w:r>
        <w:r w:rsidR="00CD6112">
          <w:rPr>
            <w:noProof/>
            <w:webHidden/>
          </w:rPr>
          <w:t>37</w:t>
        </w:r>
        <w:r w:rsidR="001571A1">
          <w:rPr>
            <w:noProof/>
            <w:webHidden/>
          </w:rPr>
          <w:fldChar w:fldCharType="end"/>
        </w:r>
      </w:hyperlink>
    </w:p>
    <w:p w14:paraId="547826F2" w14:textId="7A79A979" w:rsidR="001571A1" w:rsidRDefault="00612B40">
      <w:pPr>
        <w:pStyle w:val="TDC2"/>
        <w:rPr>
          <w:rFonts w:asciiTheme="minorHAnsi" w:eastAsiaTheme="minorEastAsia" w:hAnsiTheme="minorHAnsi" w:cstheme="minorBidi"/>
          <w:smallCaps w:val="0"/>
          <w:noProof/>
          <w:sz w:val="22"/>
          <w:szCs w:val="22"/>
        </w:rPr>
      </w:pPr>
      <w:hyperlink w:anchor="_Toc493094934" w:history="1">
        <w:r w:rsidR="001571A1" w:rsidRPr="00F22375">
          <w:rPr>
            <w:rStyle w:val="Hipervnculo"/>
            <w:noProof/>
          </w:rPr>
          <w:t>6.3</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evasão de receitas</w:t>
        </w:r>
        <w:r w:rsidR="001571A1">
          <w:rPr>
            <w:noProof/>
            <w:webHidden/>
          </w:rPr>
          <w:tab/>
        </w:r>
        <w:r w:rsidR="001571A1">
          <w:rPr>
            <w:noProof/>
            <w:webHidden/>
          </w:rPr>
          <w:fldChar w:fldCharType="begin"/>
        </w:r>
        <w:r w:rsidR="001571A1">
          <w:rPr>
            <w:noProof/>
            <w:webHidden/>
          </w:rPr>
          <w:instrText xml:space="preserve"> PAGEREF _Toc493094934 \h </w:instrText>
        </w:r>
        <w:r w:rsidR="001571A1">
          <w:rPr>
            <w:noProof/>
            <w:webHidden/>
          </w:rPr>
        </w:r>
        <w:r w:rsidR="001571A1">
          <w:rPr>
            <w:noProof/>
            <w:webHidden/>
          </w:rPr>
          <w:fldChar w:fldCharType="separate"/>
        </w:r>
        <w:r w:rsidR="00CD6112">
          <w:rPr>
            <w:noProof/>
            <w:webHidden/>
          </w:rPr>
          <w:t>38</w:t>
        </w:r>
        <w:r w:rsidR="001571A1">
          <w:rPr>
            <w:noProof/>
            <w:webHidden/>
          </w:rPr>
          <w:fldChar w:fldCharType="end"/>
        </w:r>
      </w:hyperlink>
    </w:p>
    <w:p w14:paraId="207AEDDA" w14:textId="2867728E" w:rsidR="001571A1" w:rsidRDefault="00612B40">
      <w:pPr>
        <w:pStyle w:val="TDC2"/>
        <w:rPr>
          <w:rFonts w:asciiTheme="minorHAnsi" w:eastAsiaTheme="minorEastAsia" w:hAnsiTheme="minorHAnsi" w:cstheme="minorBidi"/>
          <w:smallCaps w:val="0"/>
          <w:noProof/>
          <w:sz w:val="22"/>
          <w:szCs w:val="22"/>
        </w:rPr>
      </w:pPr>
      <w:hyperlink w:anchor="_Toc493094935" w:history="1">
        <w:r w:rsidR="001571A1" w:rsidRPr="00F22375">
          <w:rPr>
            <w:rStyle w:val="Hipervnculo"/>
            <w:noProof/>
          </w:rPr>
          <w:t>6.4</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liquidez Corrente</w:t>
        </w:r>
        <w:r w:rsidR="001571A1">
          <w:rPr>
            <w:noProof/>
            <w:webHidden/>
          </w:rPr>
          <w:tab/>
        </w:r>
        <w:r w:rsidR="001571A1">
          <w:rPr>
            <w:noProof/>
            <w:webHidden/>
          </w:rPr>
          <w:fldChar w:fldCharType="begin"/>
        </w:r>
        <w:r w:rsidR="001571A1">
          <w:rPr>
            <w:noProof/>
            <w:webHidden/>
          </w:rPr>
          <w:instrText xml:space="preserve"> PAGEREF _Toc493094935 \h </w:instrText>
        </w:r>
        <w:r w:rsidR="001571A1">
          <w:rPr>
            <w:noProof/>
            <w:webHidden/>
          </w:rPr>
        </w:r>
        <w:r w:rsidR="001571A1">
          <w:rPr>
            <w:noProof/>
            <w:webHidden/>
          </w:rPr>
          <w:fldChar w:fldCharType="separate"/>
        </w:r>
        <w:r w:rsidR="00CD6112">
          <w:rPr>
            <w:noProof/>
            <w:webHidden/>
          </w:rPr>
          <w:t>39</w:t>
        </w:r>
        <w:r w:rsidR="001571A1">
          <w:rPr>
            <w:noProof/>
            <w:webHidden/>
          </w:rPr>
          <w:fldChar w:fldCharType="end"/>
        </w:r>
      </w:hyperlink>
    </w:p>
    <w:p w14:paraId="2703992A" w14:textId="23A28522" w:rsidR="001571A1" w:rsidRDefault="00612B40">
      <w:pPr>
        <w:pStyle w:val="TDC2"/>
        <w:rPr>
          <w:rFonts w:asciiTheme="minorHAnsi" w:eastAsiaTheme="minorEastAsia" w:hAnsiTheme="minorHAnsi" w:cstheme="minorBidi"/>
          <w:smallCaps w:val="0"/>
          <w:noProof/>
          <w:sz w:val="22"/>
          <w:szCs w:val="22"/>
        </w:rPr>
      </w:pPr>
      <w:hyperlink w:anchor="_Toc493094936" w:history="1">
        <w:r w:rsidR="001571A1" w:rsidRPr="00F22375">
          <w:rPr>
            <w:rStyle w:val="Hipervnculo"/>
            <w:noProof/>
          </w:rPr>
          <w:t>6.5</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grau de endividamento</w:t>
        </w:r>
        <w:r w:rsidR="001571A1">
          <w:rPr>
            <w:noProof/>
            <w:webHidden/>
          </w:rPr>
          <w:tab/>
        </w:r>
        <w:r w:rsidR="001571A1">
          <w:rPr>
            <w:noProof/>
            <w:webHidden/>
          </w:rPr>
          <w:fldChar w:fldCharType="begin"/>
        </w:r>
        <w:r w:rsidR="001571A1">
          <w:rPr>
            <w:noProof/>
            <w:webHidden/>
          </w:rPr>
          <w:instrText xml:space="preserve"> PAGEREF _Toc493094936 \h </w:instrText>
        </w:r>
        <w:r w:rsidR="001571A1">
          <w:rPr>
            <w:noProof/>
            <w:webHidden/>
          </w:rPr>
        </w:r>
        <w:r w:rsidR="001571A1">
          <w:rPr>
            <w:noProof/>
            <w:webHidden/>
          </w:rPr>
          <w:fldChar w:fldCharType="separate"/>
        </w:r>
        <w:r w:rsidR="00CD6112">
          <w:rPr>
            <w:noProof/>
            <w:webHidden/>
          </w:rPr>
          <w:t>41</w:t>
        </w:r>
        <w:r w:rsidR="001571A1">
          <w:rPr>
            <w:noProof/>
            <w:webHidden/>
          </w:rPr>
          <w:fldChar w:fldCharType="end"/>
        </w:r>
      </w:hyperlink>
    </w:p>
    <w:p w14:paraId="5017B959" w14:textId="2CDA3122" w:rsidR="001571A1" w:rsidRDefault="00612B40">
      <w:pPr>
        <w:pStyle w:val="TDC2"/>
        <w:rPr>
          <w:rFonts w:asciiTheme="minorHAnsi" w:eastAsiaTheme="minorEastAsia" w:hAnsiTheme="minorHAnsi" w:cstheme="minorBidi"/>
          <w:smallCaps w:val="0"/>
          <w:noProof/>
          <w:sz w:val="22"/>
          <w:szCs w:val="22"/>
        </w:rPr>
      </w:pPr>
      <w:hyperlink w:anchor="_Toc493094937" w:history="1">
        <w:r w:rsidR="001571A1" w:rsidRPr="00F22375">
          <w:rPr>
            <w:rStyle w:val="Hipervnculo"/>
            <w:noProof/>
          </w:rPr>
          <w:t>6.6</w:t>
        </w:r>
        <w:r w:rsidR="001571A1">
          <w:rPr>
            <w:rFonts w:asciiTheme="minorHAnsi" w:eastAsiaTheme="minorEastAsia" w:hAnsiTheme="minorHAnsi" w:cstheme="minorBidi"/>
            <w:smallCaps w:val="0"/>
            <w:noProof/>
            <w:sz w:val="22"/>
            <w:szCs w:val="22"/>
          </w:rPr>
          <w:tab/>
        </w:r>
        <w:r w:rsidR="001571A1" w:rsidRPr="00F22375">
          <w:rPr>
            <w:rStyle w:val="Hipervnculo"/>
            <w:noProof/>
          </w:rPr>
          <w:t>Índice de suficiência de caixa</w:t>
        </w:r>
        <w:r w:rsidR="001571A1">
          <w:rPr>
            <w:noProof/>
            <w:webHidden/>
          </w:rPr>
          <w:tab/>
        </w:r>
        <w:r w:rsidR="001571A1">
          <w:rPr>
            <w:noProof/>
            <w:webHidden/>
          </w:rPr>
          <w:fldChar w:fldCharType="begin"/>
        </w:r>
        <w:r w:rsidR="001571A1">
          <w:rPr>
            <w:noProof/>
            <w:webHidden/>
          </w:rPr>
          <w:instrText xml:space="preserve"> PAGEREF _Toc493094937 \h </w:instrText>
        </w:r>
        <w:r w:rsidR="001571A1">
          <w:rPr>
            <w:noProof/>
            <w:webHidden/>
          </w:rPr>
        </w:r>
        <w:r w:rsidR="001571A1">
          <w:rPr>
            <w:noProof/>
            <w:webHidden/>
          </w:rPr>
          <w:fldChar w:fldCharType="separate"/>
        </w:r>
        <w:r w:rsidR="00CD6112">
          <w:rPr>
            <w:noProof/>
            <w:webHidden/>
          </w:rPr>
          <w:t>42</w:t>
        </w:r>
        <w:r w:rsidR="001571A1">
          <w:rPr>
            <w:noProof/>
            <w:webHidden/>
          </w:rPr>
          <w:fldChar w:fldCharType="end"/>
        </w:r>
      </w:hyperlink>
    </w:p>
    <w:p w14:paraId="392E640C" w14:textId="499BBFA4" w:rsidR="001571A1" w:rsidRDefault="00612B40">
      <w:pPr>
        <w:pStyle w:val="TDC1"/>
        <w:rPr>
          <w:rFonts w:asciiTheme="minorHAnsi" w:eastAsiaTheme="minorEastAsia" w:hAnsiTheme="minorHAnsi" w:cstheme="minorBidi"/>
          <w:b w:val="0"/>
          <w:bCs w:val="0"/>
          <w:caps w:val="0"/>
          <w:noProof/>
          <w:sz w:val="22"/>
          <w:szCs w:val="22"/>
        </w:rPr>
      </w:pPr>
      <w:hyperlink w:anchor="_Toc493094938" w:history="1">
        <w:r w:rsidR="001571A1" w:rsidRPr="00F22375">
          <w:rPr>
            <w:rStyle w:val="Hipervnculo"/>
            <w:noProof/>
          </w:rPr>
          <w:t>7</w:t>
        </w:r>
        <w:r w:rsidR="001571A1">
          <w:rPr>
            <w:rFonts w:asciiTheme="minorHAnsi" w:eastAsiaTheme="minorEastAsia" w:hAnsiTheme="minorHAnsi" w:cstheme="minorBidi"/>
            <w:b w:val="0"/>
            <w:bCs w:val="0"/>
            <w:caps w:val="0"/>
            <w:noProof/>
            <w:sz w:val="22"/>
            <w:szCs w:val="22"/>
          </w:rPr>
          <w:tab/>
        </w:r>
        <w:r w:rsidR="001571A1" w:rsidRPr="00F22375">
          <w:rPr>
            <w:rStyle w:val="Hipervnculo"/>
            <w:noProof/>
          </w:rPr>
          <w:t>Conclusões</w:t>
        </w:r>
        <w:r w:rsidR="001571A1">
          <w:rPr>
            <w:noProof/>
            <w:webHidden/>
          </w:rPr>
          <w:tab/>
        </w:r>
        <w:r w:rsidR="001571A1">
          <w:rPr>
            <w:noProof/>
            <w:webHidden/>
          </w:rPr>
          <w:fldChar w:fldCharType="begin"/>
        </w:r>
        <w:r w:rsidR="001571A1">
          <w:rPr>
            <w:noProof/>
            <w:webHidden/>
          </w:rPr>
          <w:instrText xml:space="preserve"> PAGEREF _Toc493094938 \h </w:instrText>
        </w:r>
        <w:r w:rsidR="001571A1">
          <w:rPr>
            <w:noProof/>
            <w:webHidden/>
          </w:rPr>
        </w:r>
        <w:r w:rsidR="001571A1">
          <w:rPr>
            <w:noProof/>
            <w:webHidden/>
          </w:rPr>
          <w:fldChar w:fldCharType="separate"/>
        </w:r>
        <w:r w:rsidR="00CD6112">
          <w:rPr>
            <w:noProof/>
            <w:webHidden/>
          </w:rPr>
          <w:t>44</w:t>
        </w:r>
        <w:r w:rsidR="001571A1">
          <w:rPr>
            <w:noProof/>
            <w:webHidden/>
          </w:rPr>
          <w:fldChar w:fldCharType="end"/>
        </w:r>
      </w:hyperlink>
    </w:p>
    <w:p w14:paraId="43C0FC99" w14:textId="7713CBB2" w:rsidR="001571A1" w:rsidRDefault="00612B40">
      <w:pPr>
        <w:pStyle w:val="TDC1"/>
        <w:rPr>
          <w:rFonts w:asciiTheme="minorHAnsi" w:eastAsiaTheme="minorEastAsia" w:hAnsiTheme="minorHAnsi" w:cstheme="minorBidi"/>
          <w:b w:val="0"/>
          <w:bCs w:val="0"/>
          <w:caps w:val="0"/>
          <w:noProof/>
          <w:sz w:val="22"/>
          <w:szCs w:val="22"/>
        </w:rPr>
      </w:pPr>
      <w:hyperlink w:anchor="_Toc493094939" w:history="1">
        <w:r w:rsidR="001571A1" w:rsidRPr="00F22375">
          <w:rPr>
            <w:rStyle w:val="Hipervnculo"/>
            <w:noProof/>
          </w:rPr>
          <w:t>Referências</w:t>
        </w:r>
        <w:r w:rsidR="001571A1">
          <w:rPr>
            <w:noProof/>
            <w:webHidden/>
          </w:rPr>
          <w:tab/>
        </w:r>
        <w:r w:rsidR="001571A1">
          <w:rPr>
            <w:noProof/>
            <w:webHidden/>
          </w:rPr>
          <w:fldChar w:fldCharType="begin"/>
        </w:r>
        <w:r w:rsidR="001571A1">
          <w:rPr>
            <w:noProof/>
            <w:webHidden/>
          </w:rPr>
          <w:instrText xml:space="preserve"> PAGEREF _Toc493094939 \h </w:instrText>
        </w:r>
        <w:r w:rsidR="001571A1">
          <w:rPr>
            <w:noProof/>
            <w:webHidden/>
          </w:rPr>
        </w:r>
        <w:r w:rsidR="001571A1">
          <w:rPr>
            <w:noProof/>
            <w:webHidden/>
          </w:rPr>
          <w:fldChar w:fldCharType="separate"/>
        </w:r>
        <w:r w:rsidR="00CD6112">
          <w:rPr>
            <w:noProof/>
            <w:webHidden/>
          </w:rPr>
          <w:t>45</w:t>
        </w:r>
        <w:r w:rsidR="001571A1">
          <w:rPr>
            <w:noProof/>
            <w:webHidden/>
          </w:rPr>
          <w:fldChar w:fldCharType="end"/>
        </w:r>
      </w:hyperlink>
    </w:p>
    <w:p w14:paraId="46AF16CC" w14:textId="46E6B506" w:rsidR="00DD4B07" w:rsidRPr="00042F25" w:rsidRDefault="005722CD" w:rsidP="00C60EE3">
      <w:pPr>
        <w:pStyle w:val="TDC1"/>
      </w:pPr>
      <w:r w:rsidRPr="00042F25">
        <w:rPr>
          <w:rStyle w:val="Hipervnculo"/>
          <w:noProof/>
          <w:color w:val="auto"/>
          <w:sz w:val="24"/>
          <w:szCs w:val="24"/>
          <w:lang w:eastAsia="en-US"/>
        </w:rPr>
        <w:fldChar w:fldCharType="end"/>
      </w:r>
    </w:p>
    <w:p w14:paraId="460A65C1" w14:textId="77777777" w:rsidR="00BD7F8D" w:rsidRPr="00042F25" w:rsidRDefault="00BD7F8D" w:rsidP="00C60EE3">
      <w:pPr>
        <w:pageBreakBefore/>
        <w:ind w:firstLine="0"/>
        <w:jc w:val="center"/>
        <w:rPr>
          <w:rFonts w:asciiTheme="minorHAnsi" w:hAnsiTheme="minorHAnsi" w:cstheme="minorHAnsi"/>
          <w:b/>
          <w:sz w:val="32"/>
          <w:szCs w:val="32"/>
        </w:rPr>
      </w:pPr>
      <w:bookmarkStart w:id="0" w:name="_Toc105232018"/>
      <w:r w:rsidRPr="00042F25">
        <w:rPr>
          <w:rFonts w:asciiTheme="minorHAnsi" w:hAnsiTheme="minorHAnsi" w:cstheme="minorHAnsi"/>
          <w:b/>
          <w:sz w:val="32"/>
          <w:szCs w:val="32"/>
        </w:rPr>
        <w:lastRenderedPageBreak/>
        <w:t>SUMÁRIO DE QUADROS</w:t>
      </w:r>
    </w:p>
    <w:p w14:paraId="11324D10" w14:textId="77777777" w:rsidR="00D21F17" w:rsidRDefault="007D1F3C">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r w:rsidRPr="00EA348F">
        <w:rPr>
          <w:rFonts w:asciiTheme="majorHAnsi" w:hAnsiTheme="majorHAnsi" w:cstheme="majorHAnsi"/>
          <w:szCs w:val="24"/>
        </w:rPr>
        <w:fldChar w:fldCharType="begin"/>
      </w:r>
      <w:r w:rsidR="00BD7F8D" w:rsidRPr="00EA348F">
        <w:rPr>
          <w:rFonts w:asciiTheme="majorHAnsi" w:hAnsiTheme="majorHAnsi" w:cstheme="majorHAnsi"/>
          <w:szCs w:val="24"/>
        </w:rPr>
        <w:instrText xml:space="preserve"> TOC \h \z \c "QUADRO" </w:instrText>
      </w:r>
      <w:r w:rsidRPr="00EA348F">
        <w:rPr>
          <w:rFonts w:asciiTheme="majorHAnsi" w:hAnsiTheme="majorHAnsi" w:cstheme="majorHAnsi"/>
          <w:szCs w:val="24"/>
        </w:rPr>
        <w:fldChar w:fldCharType="separate"/>
      </w:r>
      <w:hyperlink w:anchor="_Toc493222465" w:history="1">
        <w:r w:rsidR="00D21F17" w:rsidRPr="00523C60">
          <w:rPr>
            <w:rStyle w:val="Hipervnculo"/>
            <w:noProof/>
          </w:rPr>
          <w:t>Quadro 1 – Indicadores Categorizados</w:t>
        </w:r>
        <w:r w:rsidR="00D21F17">
          <w:rPr>
            <w:noProof/>
            <w:webHidden/>
          </w:rPr>
          <w:tab/>
        </w:r>
        <w:r w:rsidR="00D21F17">
          <w:rPr>
            <w:noProof/>
            <w:webHidden/>
          </w:rPr>
          <w:fldChar w:fldCharType="begin"/>
        </w:r>
        <w:r w:rsidR="00D21F17">
          <w:rPr>
            <w:noProof/>
            <w:webHidden/>
          </w:rPr>
          <w:instrText xml:space="preserve"> PAGEREF _Toc493222465 \h </w:instrText>
        </w:r>
        <w:r w:rsidR="00D21F17">
          <w:rPr>
            <w:noProof/>
            <w:webHidden/>
          </w:rPr>
        </w:r>
        <w:r w:rsidR="00D21F17">
          <w:rPr>
            <w:noProof/>
            <w:webHidden/>
          </w:rPr>
          <w:fldChar w:fldCharType="separate"/>
        </w:r>
        <w:r w:rsidR="00D21F17">
          <w:rPr>
            <w:noProof/>
            <w:webHidden/>
          </w:rPr>
          <w:t>7</w:t>
        </w:r>
        <w:r w:rsidR="00D21F17">
          <w:rPr>
            <w:noProof/>
            <w:webHidden/>
          </w:rPr>
          <w:fldChar w:fldCharType="end"/>
        </w:r>
      </w:hyperlink>
    </w:p>
    <w:p w14:paraId="51C32578"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66" w:history="1">
        <w:r w:rsidRPr="00523C60">
          <w:rPr>
            <w:rStyle w:val="Hipervnculo"/>
            <w:noProof/>
          </w:rPr>
          <w:t>Quadro 2 – Quantidade Total de Municípios Atendidos (GE005)</w:t>
        </w:r>
        <w:r>
          <w:rPr>
            <w:noProof/>
            <w:webHidden/>
          </w:rPr>
          <w:tab/>
        </w:r>
        <w:r>
          <w:rPr>
            <w:noProof/>
            <w:webHidden/>
          </w:rPr>
          <w:fldChar w:fldCharType="begin"/>
        </w:r>
        <w:r>
          <w:rPr>
            <w:noProof/>
            <w:webHidden/>
          </w:rPr>
          <w:instrText xml:space="preserve"> PAGEREF _Toc493222466 \h </w:instrText>
        </w:r>
        <w:r>
          <w:rPr>
            <w:noProof/>
            <w:webHidden/>
          </w:rPr>
        </w:r>
        <w:r>
          <w:rPr>
            <w:noProof/>
            <w:webHidden/>
          </w:rPr>
          <w:fldChar w:fldCharType="separate"/>
        </w:r>
        <w:r>
          <w:rPr>
            <w:noProof/>
            <w:webHidden/>
          </w:rPr>
          <w:t>9</w:t>
        </w:r>
        <w:r>
          <w:rPr>
            <w:noProof/>
            <w:webHidden/>
          </w:rPr>
          <w:fldChar w:fldCharType="end"/>
        </w:r>
      </w:hyperlink>
    </w:p>
    <w:p w14:paraId="46815172"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67" w:history="1">
        <w:r w:rsidRPr="00523C60">
          <w:rPr>
            <w:rStyle w:val="Hipervnculo"/>
            <w:noProof/>
          </w:rPr>
          <w:t>Quadro 3 – Quantidade Total de Municípios Atendidos com Abastecimento de Água (GE005a)</w:t>
        </w:r>
        <w:r>
          <w:rPr>
            <w:noProof/>
            <w:webHidden/>
          </w:rPr>
          <w:tab/>
        </w:r>
        <w:r>
          <w:rPr>
            <w:noProof/>
            <w:webHidden/>
          </w:rPr>
          <w:fldChar w:fldCharType="begin"/>
        </w:r>
        <w:r>
          <w:rPr>
            <w:noProof/>
            <w:webHidden/>
          </w:rPr>
          <w:instrText xml:space="preserve"> PAGEREF _Toc493222467 \h </w:instrText>
        </w:r>
        <w:r>
          <w:rPr>
            <w:noProof/>
            <w:webHidden/>
          </w:rPr>
        </w:r>
        <w:r>
          <w:rPr>
            <w:noProof/>
            <w:webHidden/>
          </w:rPr>
          <w:fldChar w:fldCharType="separate"/>
        </w:r>
        <w:r>
          <w:rPr>
            <w:noProof/>
            <w:webHidden/>
          </w:rPr>
          <w:t>10</w:t>
        </w:r>
        <w:r>
          <w:rPr>
            <w:noProof/>
            <w:webHidden/>
          </w:rPr>
          <w:fldChar w:fldCharType="end"/>
        </w:r>
      </w:hyperlink>
    </w:p>
    <w:p w14:paraId="6A1E6EFC"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68" w:history="1">
        <w:r w:rsidRPr="00523C60">
          <w:rPr>
            <w:rStyle w:val="Hipervnculo"/>
            <w:noProof/>
          </w:rPr>
          <w:t>Quadro 4 – Quantidade Total de Municípios Atendidos com Esgotamento Sanitário (GE005b)</w:t>
        </w:r>
        <w:r>
          <w:rPr>
            <w:noProof/>
            <w:webHidden/>
          </w:rPr>
          <w:tab/>
        </w:r>
        <w:r>
          <w:rPr>
            <w:noProof/>
            <w:webHidden/>
          </w:rPr>
          <w:fldChar w:fldCharType="begin"/>
        </w:r>
        <w:r>
          <w:rPr>
            <w:noProof/>
            <w:webHidden/>
          </w:rPr>
          <w:instrText xml:space="preserve"> PAGEREF _Toc493222468 \h </w:instrText>
        </w:r>
        <w:r>
          <w:rPr>
            <w:noProof/>
            <w:webHidden/>
          </w:rPr>
        </w:r>
        <w:r>
          <w:rPr>
            <w:noProof/>
            <w:webHidden/>
          </w:rPr>
          <w:fldChar w:fldCharType="separate"/>
        </w:r>
        <w:r>
          <w:rPr>
            <w:noProof/>
            <w:webHidden/>
          </w:rPr>
          <w:t>11</w:t>
        </w:r>
        <w:r>
          <w:rPr>
            <w:noProof/>
            <w:webHidden/>
          </w:rPr>
          <w:fldChar w:fldCharType="end"/>
        </w:r>
      </w:hyperlink>
    </w:p>
    <w:p w14:paraId="2C949AF5"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69" w:history="1">
        <w:r w:rsidRPr="00523C60">
          <w:rPr>
            <w:rStyle w:val="Hipervnculo"/>
            <w:noProof/>
          </w:rPr>
          <w:t>Quadro 5 – Tarifa Média Praticada (IN004)</w:t>
        </w:r>
        <w:r>
          <w:rPr>
            <w:noProof/>
            <w:webHidden/>
          </w:rPr>
          <w:tab/>
        </w:r>
        <w:r>
          <w:rPr>
            <w:noProof/>
            <w:webHidden/>
          </w:rPr>
          <w:fldChar w:fldCharType="begin"/>
        </w:r>
        <w:r>
          <w:rPr>
            <w:noProof/>
            <w:webHidden/>
          </w:rPr>
          <w:instrText xml:space="preserve"> PAGEREF _Toc493222469 \h </w:instrText>
        </w:r>
        <w:r>
          <w:rPr>
            <w:noProof/>
            <w:webHidden/>
          </w:rPr>
        </w:r>
        <w:r>
          <w:rPr>
            <w:noProof/>
            <w:webHidden/>
          </w:rPr>
          <w:fldChar w:fldCharType="separate"/>
        </w:r>
        <w:r>
          <w:rPr>
            <w:noProof/>
            <w:webHidden/>
          </w:rPr>
          <w:t>12</w:t>
        </w:r>
        <w:r>
          <w:rPr>
            <w:noProof/>
            <w:webHidden/>
          </w:rPr>
          <w:fldChar w:fldCharType="end"/>
        </w:r>
      </w:hyperlink>
    </w:p>
    <w:p w14:paraId="5C096193"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0" w:history="1">
        <w:r w:rsidRPr="00523C60">
          <w:rPr>
            <w:rStyle w:val="Hipervnculo"/>
            <w:noProof/>
          </w:rPr>
          <w:t>Quadro 6 – Consumo Médio per capita de Água (IN022)</w:t>
        </w:r>
        <w:r>
          <w:rPr>
            <w:noProof/>
            <w:webHidden/>
          </w:rPr>
          <w:tab/>
        </w:r>
        <w:r>
          <w:rPr>
            <w:noProof/>
            <w:webHidden/>
          </w:rPr>
          <w:fldChar w:fldCharType="begin"/>
        </w:r>
        <w:r>
          <w:rPr>
            <w:noProof/>
            <w:webHidden/>
          </w:rPr>
          <w:instrText xml:space="preserve"> PAGEREF _Toc493222470 \h </w:instrText>
        </w:r>
        <w:r>
          <w:rPr>
            <w:noProof/>
            <w:webHidden/>
          </w:rPr>
        </w:r>
        <w:r>
          <w:rPr>
            <w:noProof/>
            <w:webHidden/>
          </w:rPr>
          <w:fldChar w:fldCharType="separate"/>
        </w:r>
        <w:r>
          <w:rPr>
            <w:noProof/>
            <w:webHidden/>
          </w:rPr>
          <w:t>13</w:t>
        </w:r>
        <w:r>
          <w:rPr>
            <w:noProof/>
            <w:webHidden/>
          </w:rPr>
          <w:fldChar w:fldCharType="end"/>
        </w:r>
      </w:hyperlink>
    </w:p>
    <w:p w14:paraId="6EF1238F"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1" w:history="1">
        <w:r w:rsidRPr="00523C60">
          <w:rPr>
            <w:rStyle w:val="Hipervnculo"/>
            <w:noProof/>
          </w:rPr>
          <w:t>Quadro 7 – Consumo Médio de Água por Economia (IN053)</w:t>
        </w:r>
        <w:r>
          <w:rPr>
            <w:noProof/>
            <w:webHidden/>
          </w:rPr>
          <w:tab/>
        </w:r>
        <w:r>
          <w:rPr>
            <w:noProof/>
            <w:webHidden/>
          </w:rPr>
          <w:fldChar w:fldCharType="begin"/>
        </w:r>
        <w:r>
          <w:rPr>
            <w:noProof/>
            <w:webHidden/>
          </w:rPr>
          <w:instrText xml:space="preserve"> PAGEREF _Toc493222471 \h </w:instrText>
        </w:r>
        <w:r>
          <w:rPr>
            <w:noProof/>
            <w:webHidden/>
          </w:rPr>
        </w:r>
        <w:r>
          <w:rPr>
            <w:noProof/>
            <w:webHidden/>
          </w:rPr>
          <w:fldChar w:fldCharType="separate"/>
        </w:r>
        <w:r>
          <w:rPr>
            <w:noProof/>
            <w:webHidden/>
          </w:rPr>
          <w:t>14</w:t>
        </w:r>
        <w:r>
          <w:rPr>
            <w:noProof/>
            <w:webHidden/>
          </w:rPr>
          <w:fldChar w:fldCharType="end"/>
        </w:r>
      </w:hyperlink>
    </w:p>
    <w:p w14:paraId="33EE1904"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2" w:history="1">
        <w:r w:rsidRPr="00523C60">
          <w:rPr>
            <w:rStyle w:val="Hipervnculo"/>
            <w:noProof/>
          </w:rPr>
          <w:t>Quadro 8 – Volume de Água Disponibilizado por Economia (IN025)</w:t>
        </w:r>
        <w:r>
          <w:rPr>
            <w:noProof/>
            <w:webHidden/>
          </w:rPr>
          <w:tab/>
        </w:r>
        <w:r>
          <w:rPr>
            <w:noProof/>
            <w:webHidden/>
          </w:rPr>
          <w:fldChar w:fldCharType="begin"/>
        </w:r>
        <w:r>
          <w:rPr>
            <w:noProof/>
            <w:webHidden/>
          </w:rPr>
          <w:instrText xml:space="preserve"> PAGEREF _Toc493222472 \h </w:instrText>
        </w:r>
        <w:r>
          <w:rPr>
            <w:noProof/>
            <w:webHidden/>
          </w:rPr>
        </w:r>
        <w:r>
          <w:rPr>
            <w:noProof/>
            <w:webHidden/>
          </w:rPr>
          <w:fldChar w:fldCharType="separate"/>
        </w:r>
        <w:r>
          <w:rPr>
            <w:noProof/>
            <w:webHidden/>
          </w:rPr>
          <w:t>15</w:t>
        </w:r>
        <w:r>
          <w:rPr>
            <w:noProof/>
            <w:webHidden/>
          </w:rPr>
          <w:fldChar w:fldCharType="end"/>
        </w:r>
      </w:hyperlink>
    </w:p>
    <w:p w14:paraId="50426FDD" w14:textId="442B7069"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3" w:history="1">
        <w:r>
          <w:rPr>
            <w:rStyle w:val="Hipervnculo"/>
            <w:noProof/>
          </w:rPr>
          <w:t>Quadro 9 – Ranking Índices de Atendimento</w:t>
        </w:r>
        <w:r w:rsidRPr="00523C60">
          <w:rPr>
            <w:rStyle w:val="Hipervnculo"/>
            <w:noProof/>
          </w:rPr>
          <w:t xml:space="preserve"> 2015</w:t>
        </w:r>
        <w:r>
          <w:rPr>
            <w:noProof/>
            <w:webHidden/>
          </w:rPr>
          <w:tab/>
        </w:r>
        <w:r>
          <w:rPr>
            <w:noProof/>
            <w:webHidden/>
          </w:rPr>
          <w:fldChar w:fldCharType="begin"/>
        </w:r>
        <w:r>
          <w:rPr>
            <w:noProof/>
            <w:webHidden/>
          </w:rPr>
          <w:instrText xml:space="preserve"> PAGEREF _Toc493222473 \h </w:instrText>
        </w:r>
        <w:r>
          <w:rPr>
            <w:noProof/>
            <w:webHidden/>
          </w:rPr>
        </w:r>
        <w:r>
          <w:rPr>
            <w:noProof/>
            <w:webHidden/>
          </w:rPr>
          <w:fldChar w:fldCharType="separate"/>
        </w:r>
        <w:r>
          <w:rPr>
            <w:noProof/>
            <w:webHidden/>
          </w:rPr>
          <w:t>18</w:t>
        </w:r>
        <w:r>
          <w:rPr>
            <w:noProof/>
            <w:webHidden/>
          </w:rPr>
          <w:fldChar w:fldCharType="end"/>
        </w:r>
      </w:hyperlink>
    </w:p>
    <w:p w14:paraId="1FCA6115"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4" w:history="1">
        <w:r w:rsidRPr="00523C60">
          <w:rPr>
            <w:rStyle w:val="Hipervnculo"/>
            <w:noProof/>
          </w:rPr>
          <w:t>Quadro 11 – Índice de Esgoto Tratado Referido à Água Consumida (IN046)</w:t>
        </w:r>
        <w:r>
          <w:rPr>
            <w:noProof/>
            <w:webHidden/>
          </w:rPr>
          <w:tab/>
        </w:r>
        <w:r>
          <w:rPr>
            <w:noProof/>
            <w:webHidden/>
          </w:rPr>
          <w:fldChar w:fldCharType="begin"/>
        </w:r>
        <w:r>
          <w:rPr>
            <w:noProof/>
            <w:webHidden/>
          </w:rPr>
          <w:instrText xml:space="preserve"> PAGEREF _Toc493222474 \h </w:instrText>
        </w:r>
        <w:r>
          <w:rPr>
            <w:noProof/>
            <w:webHidden/>
          </w:rPr>
        </w:r>
        <w:r>
          <w:rPr>
            <w:noProof/>
            <w:webHidden/>
          </w:rPr>
          <w:fldChar w:fldCharType="separate"/>
        </w:r>
        <w:r>
          <w:rPr>
            <w:noProof/>
            <w:webHidden/>
          </w:rPr>
          <w:t>20</w:t>
        </w:r>
        <w:r>
          <w:rPr>
            <w:noProof/>
            <w:webHidden/>
          </w:rPr>
          <w:fldChar w:fldCharType="end"/>
        </w:r>
      </w:hyperlink>
    </w:p>
    <w:p w14:paraId="31FB1668"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5" w:history="1">
        <w:r w:rsidRPr="00523C60">
          <w:rPr>
            <w:rStyle w:val="Hipervnculo"/>
            <w:noProof/>
          </w:rPr>
          <w:t>Quadro 12 – Índice de Atendimento Urbano de Água (IN023)</w:t>
        </w:r>
        <w:r>
          <w:rPr>
            <w:noProof/>
            <w:webHidden/>
          </w:rPr>
          <w:tab/>
        </w:r>
        <w:r>
          <w:rPr>
            <w:noProof/>
            <w:webHidden/>
          </w:rPr>
          <w:fldChar w:fldCharType="begin"/>
        </w:r>
        <w:r>
          <w:rPr>
            <w:noProof/>
            <w:webHidden/>
          </w:rPr>
          <w:instrText xml:space="preserve"> PAGEREF _Toc493222475 \h </w:instrText>
        </w:r>
        <w:r>
          <w:rPr>
            <w:noProof/>
            <w:webHidden/>
          </w:rPr>
        </w:r>
        <w:r>
          <w:rPr>
            <w:noProof/>
            <w:webHidden/>
          </w:rPr>
          <w:fldChar w:fldCharType="separate"/>
        </w:r>
        <w:r>
          <w:rPr>
            <w:noProof/>
            <w:webHidden/>
          </w:rPr>
          <w:t>22</w:t>
        </w:r>
        <w:r>
          <w:rPr>
            <w:noProof/>
            <w:webHidden/>
          </w:rPr>
          <w:fldChar w:fldCharType="end"/>
        </w:r>
      </w:hyperlink>
    </w:p>
    <w:p w14:paraId="08975AF8"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6" w:history="1">
        <w:r w:rsidRPr="00523C60">
          <w:rPr>
            <w:rStyle w:val="Hipervnculo"/>
            <w:noProof/>
          </w:rPr>
          <w:t>Quadro 13 – Índice de Atendimento Total de Água (IN055)</w:t>
        </w:r>
        <w:r>
          <w:rPr>
            <w:noProof/>
            <w:webHidden/>
          </w:rPr>
          <w:tab/>
        </w:r>
        <w:r>
          <w:rPr>
            <w:noProof/>
            <w:webHidden/>
          </w:rPr>
          <w:fldChar w:fldCharType="begin"/>
        </w:r>
        <w:r>
          <w:rPr>
            <w:noProof/>
            <w:webHidden/>
          </w:rPr>
          <w:instrText xml:space="preserve"> PAGEREF _Toc493222476 \h </w:instrText>
        </w:r>
        <w:r>
          <w:rPr>
            <w:noProof/>
            <w:webHidden/>
          </w:rPr>
        </w:r>
        <w:r>
          <w:rPr>
            <w:noProof/>
            <w:webHidden/>
          </w:rPr>
          <w:fldChar w:fldCharType="separate"/>
        </w:r>
        <w:r>
          <w:rPr>
            <w:noProof/>
            <w:webHidden/>
          </w:rPr>
          <w:t>23</w:t>
        </w:r>
        <w:r>
          <w:rPr>
            <w:noProof/>
            <w:webHidden/>
          </w:rPr>
          <w:fldChar w:fldCharType="end"/>
        </w:r>
      </w:hyperlink>
    </w:p>
    <w:p w14:paraId="31897EA3"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7" w:history="1">
        <w:r w:rsidRPr="00523C60">
          <w:rPr>
            <w:rStyle w:val="Hipervnculo"/>
            <w:noProof/>
          </w:rPr>
          <w:t>Quadro 14 – Índice de Atendimento Urbano de Esgoto Referido aos Municípios Atendidos com Água (IN024)</w:t>
        </w:r>
        <w:r>
          <w:rPr>
            <w:noProof/>
            <w:webHidden/>
          </w:rPr>
          <w:tab/>
        </w:r>
        <w:r>
          <w:rPr>
            <w:noProof/>
            <w:webHidden/>
          </w:rPr>
          <w:fldChar w:fldCharType="begin"/>
        </w:r>
        <w:r>
          <w:rPr>
            <w:noProof/>
            <w:webHidden/>
          </w:rPr>
          <w:instrText xml:space="preserve"> PAGEREF _Toc493222477 \h </w:instrText>
        </w:r>
        <w:r>
          <w:rPr>
            <w:noProof/>
            <w:webHidden/>
          </w:rPr>
        </w:r>
        <w:r>
          <w:rPr>
            <w:noProof/>
            <w:webHidden/>
          </w:rPr>
          <w:fldChar w:fldCharType="separate"/>
        </w:r>
        <w:r>
          <w:rPr>
            <w:noProof/>
            <w:webHidden/>
          </w:rPr>
          <w:t>24</w:t>
        </w:r>
        <w:r>
          <w:rPr>
            <w:noProof/>
            <w:webHidden/>
          </w:rPr>
          <w:fldChar w:fldCharType="end"/>
        </w:r>
      </w:hyperlink>
    </w:p>
    <w:p w14:paraId="02CC02F1"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8" w:history="1">
        <w:r w:rsidRPr="00523C60">
          <w:rPr>
            <w:rStyle w:val="Hipervnculo"/>
            <w:noProof/>
          </w:rPr>
          <w:t>Quadro 15 – Índice de Atendimento Total de Esgoto Referido aos Municípios Atendidos com Água (IN056)</w:t>
        </w:r>
        <w:r>
          <w:rPr>
            <w:noProof/>
            <w:webHidden/>
          </w:rPr>
          <w:tab/>
        </w:r>
        <w:r>
          <w:rPr>
            <w:noProof/>
            <w:webHidden/>
          </w:rPr>
          <w:fldChar w:fldCharType="begin"/>
        </w:r>
        <w:r>
          <w:rPr>
            <w:noProof/>
            <w:webHidden/>
          </w:rPr>
          <w:instrText xml:space="preserve"> PAGEREF _Toc493222478 \h </w:instrText>
        </w:r>
        <w:r>
          <w:rPr>
            <w:noProof/>
            <w:webHidden/>
          </w:rPr>
        </w:r>
        <w:r>
          <w:rPr>
            <w:noProof/>
            <w:webHidden/>
          </w:rPr>
          <w:fldChar w:fldCharType="separate"/>
        </w:r>
        <w:r>
          <w:rPr>
            <w:noProof/>
            <w:webHidden/>
          </w:rPr>
          <w:t>24</w:t>
        </w:r>
        <w:r>
          <w:rPr>
            <w:noProof/>
            <w:webHidden/>
          </w:rPr>
          <w:fldChar w:fldCharType="end"/>
        </w:r>
      </w:hyperlink>
    </w:p>
    <w:p w14:paraId="67999537"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79" w:history="1">
        <w:r w:rsidRPr="00523C60">
          <w:rPr>
            <w:rStyle w:val="Hipervnculo"/>
            <w:noProof/>
          </w:rPr>
          <w:t>Quadro 16 – Ranking Índices de Eficiência Operacional 2015</w:t>
        </w:r>
        <w:r>
          <w:rPr>
            <w:noProof/>
            <w:webHidden/>
          </w:rPr>
          <w:tab/>
        </w:r>
        <w:r>
          <w:rPr>
            <w:noProof/>
            <w:webHidden/>
          </w:rPr>
          <w:fldChar w:fldCharType="begin"/>
        </w:r>
        <w:r>
          <w:rPr>
            <w:noProof/>
            <w:webHidden/>
          </w:rPr>
          <w:instrText xml:space="preserve"> PAGEREF _Toc493222479 \h </w:instrText>
        </w:r>
        <w:r>
          <w:rPr>
            <w:noProof/>
            <w:webHidden/>
          </w:rPr>
        </w:r>
        <w:r>
          <w:rPr>
            <w:noProof/>
            <w:webHidden/>
          </w:rPr>
          <w:fldChar w:fldCharType="separate"/>
        </w:r>
        <w:r>
          <w:rPr>
            <w:noProof/>
            <w:webHidden/>
          </w:rPr>
          <w:t>26</w:t>
        </w:r>
        <w:r>
          <w:rPr>
            <w:noProof/>
            <w:webHidden/>
          </w:rPr>
          <w:fldChar w:fldCharType="end"/>
        </w:r>
      </w:hyperlink>
    </w:p>
    <w:p w14:paraId="09FE4BA2"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0" w:history="1">
        <w:r w:rsidRPr="00523C60">
          <w:rPr>
            <w:rStyle w:val="Hipervnculo"/>
            <w:noProof/>
          </w:rPr>
          <w:t>Quadro 17 – Índice de Produtividade de Economias Ativas por Pessoal Próprio (IN002)</w:t>
        </w:r>
        <w:r>
          <w:rPr>
            <w:noProof/>
            <w:webHidden/>
          </w:rPr>
          <w:tab/>
        </w:r>
        <w:r>
          <w:rPr>
            <w:noProof/>
            <w:webHidden/>
          </w:rPr>
          <w:fldChar w:fldCharType="begin"/>
        </w:r>
        <w:r>
          <w:rPr>
            <w:noProof/>
            <w:webHidden/>
          </w:rPr>
          <w:instrText xml:space="preserve"> PAGEREF _Toc493222480 \h </w:instrText>
        </w:r>
        <w:r>
          <w:rPr>
            <w:noProof/>
            <w:webHidden/>
          </w:rPr>
        </w:r>
        <w:r>
          <w:rPr>
            <w:noProof/>
            <w:webHidden/>
          </w:rPr>
          <w:fldChar w:fldCharType="separate"/>
        </w:r>
        <w:r>
          <w:rPr>
            <w:noProof/>
            <w:webHidden/>
          </w:rPr>
          <w:t>28</w:t>
        </w:r>
        <w:r>
          <w:rPr>
            <w:noProof/>
            <w:webHidden/>
          </w:rPr>
          <w:fldChar w:fldCharType="end"/>
        </w:r>
      </w:hyperlink>
    </w:p>
    <w:p w14:paraId="7BA83880"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1" w:history="1">
        <w:r w:rsidRPr="00523C60">
          <w:rPr>
            <w:rStyle w:val="Hipervnculo"/>
            <w:noProof/>
          </w:rPr>
          <w:t>Quadro 18 – Índice de Produtividade de Economias Ativas por Pessoal Total (IN019)</w:t>
        </w:r>
        <w:r>
          <w:rPr>
            <w:noProof/>
            <w:webHidden/>
          </w:rPr>
          <w:tab/>
        </w:r>
        <w:r>
          <w:rPr>
            <w:noProof/>
            <w:webHidden/>
          </w:rPr>
          <w:fldChar w:fldCharType="begin"/>
        </w:r>
        <w:r>
          <w:rPr>
            <w:noProof/>
            <w:webHidden/>
          </w:rPr>
          <w:instrText xml:space="preserve"> PAGEREF _Toc493222481 \h </w:instrText>
        </w:r>
        <w:r>
          <w:rPr>
            <w:noProof/>
            <w:webHidden/>
          </w:rPr>
        </w:r>
        <w:r>
          <w:rPr>
            <w:noProof/>
            <w:webHidden/>
          </w:rPr>
          <w:fldChar w:fldCharType="separate"/>
        </w:r>
        <w:r>
          <w:rPr>
            <w:noProof/>
            <w:webHidden/>
          </w:rPr>
          <w:t>28</w:t>
        </w:r>
        <w:r>
          <w:rPr>
            <w:noProof/>
            <w:webHidden/>
          </w:rPr>
          <w:fldChar w:fldCharType="end"/>
        </w:r>
      </w:hyperlink>
    </w:p>
    <w:p w14:paraId="7F8C7E9B"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2" w:history="1">
        <w:r w:rsidRPr="00523C60">
          <w:rPr>
            <w:rStyle w:val="Hipervnculo"/>
            <w:noProof/>
          </w:rPr>
          <w:t>Quadro 19 – Índice de Despesas de Exploração por m</w:t>
        </w:r>
        <w:r w:rsidRPr="00523C60">
          <w:rPr>
            <w:rStyle w:val="Hipervnculo"/>
            <w:noProof/>
            <w:vertAlign w:val="superscript"/>
          </w:rPr>
          <w:t>3</w:t>
        </w:r>
        <w:r w:rsidRPr="00523C60">
          <w:rPr>
            <w:rStyle w:val="Hipervnculo"/>
            <w:noProof/>
          </w:rPr>
          <w:t xml:space="preserve"> Faturado (IN026)</w:t>
        </w:r>
        <w:r>
          <w:rPr>
            <w:noProof/>
            <w:webHidden/>
          </w:rPr>
          <w:tab/>
        </w:r>
        <w:r>
          <w:rPr>
            <w:noProof/>
            <w:webHidden/>
          </w:rPr>
          <w:fldChar w:fldCharType="begin"/>
        </w:r>
        <w:r>
          <w:rPr>
            <w:noProof/>
            <w:webHidden/>
          </w:rPr>
          <w:instrText xml:space="preserve"> PAGEREF _Toc493222482 \h </w:instrText>
        </w:r>
        <w:r>
          <w:rPr>
            <w:noProof/>
            <w:webHidden/>
          </w:rPr>
        </w:r>
        <w:r>
          <w:rPr>
            <w:noProof/>
            <w:webHidden/>
          </w:rPr>
          <w:fldChar w:fldCharType="separate"/>
        </w:r>
        <w:r>
          <w:rPr>
            <w:noProof/>
            <w:webHidden/>
          </w:rPr>
          <w:t>30</w:t>
        </w:r>
        <w:r>
          <w:rPr>
            <w:noProof/>
            <w:webHidden/>
          </w:rPr>
          <w:fldChar w:fldCharType="end"/>
        </w:r>
      </w:hyperlink>
    </w:p>
    <w:p w14:paraId="4BE2071B"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3" w:history="1">
        <w:r w:rsidRPr="00523C60">
          <w:rPr>
            <w:rStyle w:val="Hipervnculo"/>
            <w:noProof/>
          </w:rPr>
          <w:t>Quadro 20 – Índice de Perdas de Faturamento (IN013)</w:t>
        </w:r>
        <w:r>
          <w:rPr>
            <w:noProof/>
            <w:webHidden/>
          </w:rPr>
          <w:tab/>
        </w:r>
        <w:r>
          <w:rPr>
            <w:noProof/>
            <w:webHidden/>
          </w:rPr>
          <w:fldChar w:fldCharType="begin"/>
        </w:r>
        <w:r>
          <w:rPr>
            <w:noProof/>
            <w:webHidden/>
          </w:rPr>
          <w:instrText xml:space="preserve"> PAGEREF _Toc493222483 \h </w:instrText>
        </w:r>
        <w:r>
          <w:rPr>
            <w:noProof/>
            <w:webHidden/>
          </w:rPr>
        </w:r>
        <w:r>
          <w:rPr>
            <w:noProof/>
            <w:webHidden/>
          </w:rPr>
          <w:fldChar w:fldCharType="separate"/>
        </w:r>
        <w:r>
          <w:rPr>
            <w:noProof/>
            <w:webHidden/>
          </w:rPr>
          <w:t>31</w:t>
        </w:r>
        <w:r>
          <w:rPr>
            <w:noProof/>
            <w:webHidden/>
          </w:rPr>
          <w:fldChar w:fldCharType="end"/>
        </w:r>
      </w:hyperlink>
    </w:p>
    <w:p w14:paraId="393767F5"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4" w:history="1">
        <w:r w:rsidRPr="00523C60">
          <w:rPr>
            <w:rStyle w:val="Hipervnculo"/>
            <w:noProof/>
          </w:rPr>
          <w:t>Quadro 21 – Índice de Perdas na Distribuição (IN049)</w:t>
        </w:r>
        <w:r>
          <w:rPr>
            <w:noProof/>
            <w:webHidden/>
          </w:rPr>
          <w:tab/>
        </w:r>
        <w:r>
          <w:rPr>
            <w:noProof/>
            <w:webHidden/>
          </w:rPr>
          <w:fldChar w:fldCharType="begin"/>
        </w:r>
        <w:r>
          <w:rPr>
            <w:noProof/>
            <w:webHidden/>
          </w:rPr>
          <w:instrText xml:space="preserve"> PAGEREF _Toc493222484 \h </w:instrText>
        </w:r>
        <w:r>
          <w:rPr>
            <w:noProof/>
            <w:webHidden/>
          </w:rPr>
        </w:r>
        <w:r>
          <w:rPr>
            <w:noProof/>
            <w:webHidden/>
          </w:rPr>
          <w:fldChar w:fldCharType="separate"/>
        </w:r>
        <w:r>
          <w:rPr>
            <w:noProof/>
            <w:webHidden/>
          </w:rPr>
          <w:t>32</w:t>
        </w:r>
        <w:r>
          <w:rPr>
            <w:noProof/>
            <w:webHidden/>
          </w:rPr>
          <w:fldChar w:fldCharType="end"/>
        </w:r>
      </w:hyperlink>
    </w:p>
    <w:p w14:paraId="1D9BF0FB"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5" w:history="1">
        <w:r w:rsidRPr="00523C60">
          <w:rPr>
            <w:rStyle w:val="Hipervnculo"/>
            <w:noProof/>
          </w:rPr>
          <w:t>Quadro 22 – Índice de Perdas por Ligação (IN051)</w:t>
        </w:r>
        <w:r>
          <w:rPr>
            <w:noProof/>
            <w:webHidden/>
          </w:rPr>
          <w:tab/>
        </w:r>
        <w:r>
          <w:rPr>
            <w:noProof/>
            <w:webHidden/>
          </w:rPr>
          <w:fldChar w:fldCharType="begin"/>
        </w:r>
        <w:r>
          <w:rPr>
            <w:noProof/>
            <w:webHidden/>
          </w:rPr>
          <w:instrText xml:space="preserve"> PAGEREF _Toc493222485 \h </w:instrText>
        </w:r>
        <w:r>
          <w:rPr>
            <w:noProof/>
            <w:webHidden/>
          </w:rPr>
        </w:r>
        <w:r>
          <w:rPr>
            <w:noProof/>
            <w:webHidden/>
          </w:rPr>
          <w:fldChar w:fldCharType="separate"/>
        </w:r>
        <w:r>
          <w:rPr>
            <w:noProof/>
            <w:webHidden/>
          </w:rPr>
          <w:t>33</w:t>
        </w:r>
        <w:r>
          <w:rPr>
            <w:noProof/>
            <w:webHidden/>
          </w:rPr>
          <w:fldChar w:fldCharType="end"/>
        </w:r>
      </w:hyperlink>
    </w:p>
    <w:p w14:paraId="027891E6"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6" w:history="1">
        <w:r w:rsidRPr="00523C60">
          <w:rPr>
            <w:rStyle w:val="Hipervnculo"/>
            <w:noProof/>
          </w:rPr>
          <w:t>Quadro 23 – Ranking Índices de Eficiência de Gestão Corporativa 2015</w:t>
        </w:r>
        <w:r>
          <w:rPr>
            <w:noProof/>
            <w:webHidden/>
          </w:rPr>
          <w:tab/>
        </w:r>
        <w:r>
          <w:rPr>
            <w:noProof/>
            <w:webHidden/>
          </w:rPr>
          <w:fldChar w:fldCharType="begin"/>
        </w:r>
        <w:r>
          <w:rPr>
            <w:noProof/>
            <w:webHidden/>
          </w:rPr>
          <w:instrText xml:space="preserve"> PAGEREF _Toc493222486 \h </w:instrText>
        </w:r>
        <w:r>
          <w:rPr>
            <w:noProof/>
            <w:webHidden/>
          </w:rPr>
        </w:r>
        <w:r>
          <w:rPr>
            <w:noProof/>
            <w:webHidden/>
          </w:rPr>
          <w:fldChar w:fldCharType="separate"/>
        </w:r>
        <w:r>
          <w:rPr>
            <w:noProof/>
            <w:webHidden/>
          </w:rPr>
          <w:t>34</w:t>
        </w:r>
        <w:r>
          <w:rPr>
            <w:noProof/>
            <w:webHidden/>
          </w:rPr>
          <w:fldChar w:fldCharType="end"/>
        </w:r>
      </w:hyperlink>
    </w:p>
    <w:p w14:paraId="6681C752"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7" w:history="1">
        <w:r w:rsidRPr="00523C60">
          <w:rPr>
            <w:rStyle w:val="Hipervnculo"/>
            <w:noProof/>
          </w:rPr>
          <w:t>Quadro 24 – Índice de Despesa Total com Serviços por m</w:t>
        </w:r>
        <w:r w:rsidRPr="00523C60">
          <w:rPr>
            <w:rStyle w:val="Hipervnculo"/>
            <w:noProof/>
            <w:vertAlign w:val="superscript"/>
          </w:rPr>
          <w:t>3</w:t>
        </w:r>
        <w:r w:rsidRPr="00523C60">
          <w:rPr>
            <w:rStyle w:val="Hipervnculo"/>
            <w:noProof/>
          </w:rPr>
          <w:t xml:space="preserve"> Faturado (IN003)</w:t>
        </w:r>
        <w:r>
          <w:rPr>
            <w:noProof/>
            <w:webHidden/>
          </w:rPr>
          <w:tab/>
        </w:r>
        <w:r>
          <w:rPr>
            <w:noProof/>
            <w:webHidden/>
          </w:rPr>
          <w:fldChar w:fldCharType="begin"/>
        </w:r>
        <w:r>
          <w:rPr>
            <w:noProof/>
            <w:webHidden/>
          </w:rPr>
          <w:instrText xml:space="preserve"> PAGEREF _Toc493222487 \h </w:instrText>
        </w:r>
        <w:r>
          <w:rPr>
            <w:noProof/>
            <w:webHidden/>
          </w:rPr>
        </w:r>
        <w:r>
          <w:rPr>
            <w:noProof/>
            <w:webHidden/>
          </w:rPr>
          <w:fldChar w:fldCharType="separate"/>
        </w:r>
        <w:r>
          <w:rPr>
            <w:noProof/>
            <w:webHidden/>
          </w:rPr>
          <w:t>35</w:t>
        </w:r>
        <w:r>
          <w:rPr>
            <w:noProof/>
            <w:webHidden/>
          </w:rPr>
          <w:fldChar w:fldCharType="end"/>
        </w:r>
      </w:hyperlink>
    </w:p>
    <w:p w14:paraId="1BC8796C" w14:textId="5096F345"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8" w:history="1">
        <w:r>
          <w:rPr>
            <w:rStyle w:val="Hipervnculo"/>
            <w:noProof/>
          </w:rPr>
          <w:t>Quadro 25 – Margem Operacional Sem Deprecia</w:t>
        </w:r>
        <w:r w:rsidRPr="00D21F17">
          <w:rPr>
            <w:rStyle w:val="Hipervnculo"/>
            <w:noProof/>
          </w:rPr>
          <w:t>ç</w:t>
        </w:r>
        <w:r>
          <w:rPr>
            <w:rStyle w:val="Hipervnculo"/>
            <w:noProof/>
          </w:rPr>
          <w:t>ao</w:t>
        </w:r>
        <w:r w:rsidRPr="00523C60">
          <w:rPr>
            <w:rStyle w:val="Hipervnculo"/>
            <w:noProof/>
          </w:rPr>
          <w:t xml:space="preserve"> (IN068)</w:t>
        </w:r>
        <w:r>
          <w:rPr>
            <w:noProof/>
            <w:webHidden/>
          </w:rPr>
          <w:tab/>
        </w:r>
        <w:r>
          <w:rPr>
            <w:noProof/>
            <w:webHidden/>
          </w:rPr>
          <w:fldChar w:fldCharType="begin"/>
        </w:r>
        <w:r>
          <w:rPr>
            <w:noProof/>
            <w:webHidden/>
          </w:rPr>
          <w:instrText xml:space="preserve"> PAGEREF _Toc493222488 \h </w:instrText>
        </w:r>
        <w:r>
          <w:rPr>
            <w:noProof/>
            <w:webHidden/>
          </w:rPr>
        </w:r>
        <w:r>
          <w:rPr>
            <w:noProof/>
            <w:webHidden/>
          </w:rPr>
          <w:fldChar w:fldCharType="separate"/>
        </w:r>
        <w:r>
          <w:rPr>
            <w:noProof/>
            <w:webHidden/>
          </w:rPr>
          <w:t>37</w:t>
        </w:r>
        <w:r>
          <w:rPr>
            <w:noProof/>
            <w:webHidden/>
          </w:rPr>
          <w:fldChar w:fldCharType="end"/>
        </w:r>
      </w:hyperlink>
    </w:p>
    <w:p w14:paraId="74E6EC8A"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89" w:history="1">
        <w:r w:rsidRPr="00523C60">
          <w:rPr>
            <w:rStyle w:val="Hipervnculo"/>
            <w:noProof/>
          </w:rPr>
          <w:t>Quadro 26 – Índice de Evasão de Receitas (IN029)</w:t>
        </w:r>
        <w:r>
          <w:rPr>
            <w:noProof/>
            <w:webHidden/>
          </w:rPr>
          <w:tab/>
        </w:r>
        <w:r>
          <w:rPr>
            <w:noProof/>
            <w:webHidden/>
          </w:rPr>
          <w:fldChar w:fldCharType="begin"/>
        </w:r>
        <w:r>
          <w:rPr>
            <w:noProof/>
            <w:webHidden/>
          </w:rPr>
          <w:instrText xml:space="preserve"> PAGEREF _Toc493222489 \h </w:instrText>
        </w:r>
        <w:r>
          <w:rPr>
            <w:noProof/>
            <w:webHidden/>
          </w:rPr>
        </w:r>
        <w:r>
          <w:rPr>
            <w:noProof/>
            <w:webHidden/>
          </w:rPr>
          <w:fldChar w:fldCharType="separate"/>
        </w:r>
        <w:r>
          <w:rPr>
            <w:noProof/>
            <w:webHidden/>
          </w:rPr>
          <w:t>38</w:t>
        </w:r>
        <w:r>
          <w:rPr>
            <w:noProof/>
            <w:webHidden/>
          </w:rPr>
          <w:fldChar w:fldCharType="end"/>
        </w:r>
      </w:hyperlink>
    </w:p>
    <w:p w14:paraId="5A0D4ED6" w14:textId="58434D8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90" w:history="1">
        <w:r w:rsidRPr="00523C60">
          <w:rPr>
            <w:rStyle w:val="Hipervnculo"/>
            <w:noProof/>
          </w:rPr>
          <w:t xml:space="preserve">Quadro </w:t>
        </w:r>
        <w:r>
          <w:rPr>
            <w:rStyle w:val="Hipervnculo"/>
            <w:noProof/>
          </w:rPr>
          <w:t>27 – Índice de Liquidez Corrente</w:t>
        </w:r>
        <w:r w:rsidRPr="00523C60">
          <w:rPr>
            <w:rStyle w:val="Hipervnculo"/>
            <w:noProof/>
          </w:rPr>
          <w:t xml:space="preserve"> (IN061)</w:t>
        </w:r>
        <w:r>
          <w:rPr>
            <w:noProof/>
            <w:webHidden/>
          </w:rPr>
          <w:tab/>
        </w:r>
        <w:r>
          <w:rPr>
            <w:noProof/>
            <w:webHidden/>
          </w:rPr>
          <w:fldChar w:fldCharType="begin"/>
        </w:r>
        <w:r>
          <w:rPr>
            <w:noProof/>
            <w:webHidden/>
          </w:rPr>
          <w:instrText xml:space="preserve"> PAGEREF _Toc493222490 \h </w:instrText>
        </w:r>
        <w:r>
          <w:rPr>
            <w:noProof/>
            <w:webHidden/>
          </w:rPr>
        </w:r>
        <w:r>
          <w:rPr>
            <w:noProof/>
            <w:webHidden/>
          </w:rPr>
          <w:fldChar w:fldCharType="separate"/>
        </w:r>
        <w:r>
          <w:rPr>
            <w:noProof/>
            <w:webHidden/>
          </w:rPr>
          <w:t>39</w:t>
        </w:r>
        <w:r>
          <w:rPr>
            <w:noProof/>
            <w:webHidden/>
          </w:rPr>
          <w:fldChar w:fldCharType="end"/>
        </w:r>
      </w:hyperlink>
    </w:p>
    <w:p w14:paraId="4B964660"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91" w:history="1">
        <w:r w:rsidRPr="00523C60">
          <w:rPr>
            <w:rStyle w:val="Hipervnculo"/>
            <w:noProof/>
          </w:rPr>
          <w:t>Quadro 28 – Índice de Grau de Endividamento (IN063)</w:t>
        </w:r>
        <w:r>
          <w:rPr>
            <w:noProof/>
            <w:webHidden/>
          </w:rPr>
          <w:tab/>
        </w:r>
        <w:r>
          <w:rPr>
            <w:noProof/>
            <w:webHidden/>
          </w:rPr>
          <w:fldChar w:fldCharType="begin"/>
        </w:r>
        <w:r>
          <w:rPr>
            <w:noProof/>
            <w:webHidden/>
          </w:rPr>
          <w:instrText xml:space="preserve"> PAGEREF _Toc493222491 \h </w:instrText>
        </w:r>
        <w:r>
          <w:rPr>
            <w:noProof/>
            <w:webHidden/>
          </w:rPr>
        </w:r>
        <w:r>
          <w:rPr>
            <w:noProof/>
            <w:webHidden/>
          </w:rPr>
          <w:fldChar w:fldCharType="separate"/>
        </w:r>
        <w:r>
          <w:rPr>
            <w:noProof/>
            <w:webHidden/>
          </w:rPr>
          <w:t>40</w:t>
        </w:r>
        <w:r>
          <w:rPr>
            <w:noProof/>
            <w:webHidden/>
          </w:rPr>
          <w:fldChar w:fldCharType="end"/>
        </w:r>
      </w:hyperlink>
    </w:p>
    <w:p w14:paraId="5F16BA86" w14:textId="77777777" w:rsidR="00D21F17" w:rsidRDefault="00D21F17">
      <w:pPr>
        <w:pStyle w:val="Tabladeilustraciones"/>
        <w:tabs>
          <w:tab w:val="right" w:leader="dot" w:pos="8494"/>
        </w:tabs>
        <w:rPr>
          <w:rFonts w:asciiTheme="minorHAnsi" w:eastAsiaTheme="minorEastAsia" w:hAnsiTheme="minorHAnsi" w:cstheme="minorBidi"/>
          <w:smallCaps w:val="0"/>
          <w:noProof/>
          <w:sz w:val="22"/>
          <w:szCs w:val="22"/>
          <w:lang w:val="es-CO" w:eastAsia="es-CO" w:bidi="ar-SA"/>
        </w:rPr>
      </w:pPr>
      <w:hyperlink w:anchor="_Toc493222492" w:history="1">
        <w:r w:rsidRPr="00523C60">
          <w:rPr>
            <w:rStyle w:val="Hipervnculo"/>
            <w:noProof/>
          </w:rPr>
          <w:t>Quadro 29 – Índice de Suficiência de Caixa (IN101)</w:t>
        </w:r>
        <w:r>
          <w:rPr>
            <w:noProof/>
            <w:webHidden/>
          </w:rPr>
          <w:tab/>
        </w:r>
        <w:r>
          <w:rPr>
            <w:noProof/>
            <w:webHidden/>
          </w:rPr>
          <w:fldChar w:fldCharType="begin"/>
        </w:r>
        <w:r>
          <w:rPr>
            <w:noProof/>
            <w:webHidden/>
          </w:rPr>
          <w:instrText xml:space="preserve"> PAGEREF _Toc493222492 \h </w:instrText>
        </w:r>
        <w:r>
          <w:rPr>
            <w:noProof/>
            <w:webHidden/>
          </w:rPr>
        </w:r>
        <w:r>
          <w:rPr>
            <w:noProof/>
            <w:webHidden/>
          </w:rPr>
          <w:fldChar w:fldCharType="separate"/>
        </w:r>
        <w:r>
          <w:rPr>
            <w:noProof/>
            <w:webHidden/>
          </w:rPr>
          <w:t>41</w:t>
        </w:r>
        <w:r>
          <w:rPr>
            <w:noProof/>
            <w:webHidden/>
          </w:rPr>
          <w:fldChar w:fldCharType="end"/>
        </w:r>
      </w:hyperlink>
    </w:p>
    <w:p w14:paraId="500F8C11" w14:textId="7B4980FD" w:rsidR="00A44CF7" w:rsidRDefault="007D1F3C" w:rsidP="005F3635">
      <w:pPr>
        <w:pStyle w:val="Tabladeilustraciones"/>
        <w:tabs>
          <w:tab w:val="right" w:leader="dot" w:pos="8494"/>
        </w:tabs>
        <w:ind w:firstLine="0"/>
        <w:rPr>
          <w:rFonts w:asciiTheme="majorHAnsi" w:hAnsiTheme="majorHAnsi" w:cstheme="majorHAnsi"/>
          <w:szCs w:val="24"/>
        </w:rPr>
      </w:pPr>
      <w:r w:rsidRPr="00EA348F">
        <w:rPr>
          <w:rFonts w:asciiTheme="majorHAnsi" w:hAnsiTheme="majorHAnsi" w:cstheme="majorHAnsi"/>
          <w:szCs w:val="24"/>
        </w:rPr>
        <w:fldChar w:fldCharType="end"/>
      </w:r>
      <w:bookmarkEnd w:id="0"/>
    </w:p>
    <w:p w14:paraId="2DE62E32" w14:textId="3DD2E058" w:rsidR="00D21F17" w:rsidRPr="00EA348F" w:rsidRDefault="00D21F17" w:rsidP="00EA348F">
      <w:pPr>
        <w:ind w:firstLine="0"/>
        <w:rPr>
          <w:lang w:bidi="en-US"/>
        </w:rPr>
      </w:pPr>
    </w:p>
    <w:p w14:paraId="7F7D4349" w14:textId="52B473A5" w:rsidR="00B447EC" w:rsidRPr="00042F25" w:rsidRDefault="00245A0A" w:rsidP="00C60EE3">
      <w:pPr>
        <w:pStyle w:val="Ttulo1"/>
      </w:pPr>
      <w:bookmarkStart w:id="1" w:name="_Toc493094916"/>
      <w:r w:rsidRPr="00042F25">
        <w:lastRenderedPageBreak/>
        <w:t>Introdução</w:t>
      </w:r>
      <w:bookmarkEnd w:id="1"/>
    </w:p>
    <w:p w14:paraId="28B15AF5" w14:textId="17CB5029" w:rsidR="00231478" w:rsidRPr="00042F25" w:rsidRDefault="00231478" w:rsidP="00C8337E">
      <w:r w:rsidRPr="00042F25">
        <w:t xml:space="preserve">O objetivo deste documento é avaliar </w:t>
      </w:r>
      <w:r w:rsidR="00E317C2" w:rsidRPr="00042F25">
        <w:t xml:space="preserve">o desempenho </w:t>
      </w:r>
      <w:r w:rsidRPr="00042F25">
        <w:t>das Companhias Estaduai</w:t>
      </w:r>
      <w:r w:rsidR="00D46BF4" w:rsidRPr="00042F25">
        <w:t>s de Saneamento Básico (CESB</w:t>
      </w:r>
      <w:r w:rsidR="00734F2F" w:rsidRPr="00042F25">
        <w:t>)</w:t>
      </w:r>
      <w:r w:rsidR="00E317C2" w:rsidRPr="00042F25">
        <w:t xml:space="preserve"> </w:t>
      </w:r>
      <w:r w:rsidR="00042F25">
        <w:t xml:space="preserve">em três dimensões: níveis de atendimento, eficiência operacional e eficiência da gestão corporativa. </w:t>
      </w:r>
    </w:p>
    <w:p w14:paraId="6D4D7A4E" w14:textId="3B3375B6" w:rsidR="00E317C2" w:rsidRPr="00042F25" w:rsidRDefault="00231478" w:rsidP="00231478">
      <w:r w:rsidRPr="00042F25">
        <w:t xml:space="preserve">Este documento está dividido em </w:t>
      </w:r>
      <w:r w:rsidR="00E317C2" w:rsidRPr="00042F25">
        <w:t>sete</w:t>
      </w:r>
      <w:r w:rsidRPr="00042F25">
        <w:t xml:space="preserve"> seções, incluindo esta introdução. A Seção 2 </w:t>
      </w:r>
      <w:r w:rsidR="00E317C2" w:rsidRPr="00042F25">
        <w:t>mostra a metodologia adotada na escolha de indicadores e informações.</w:t>
      </w:r>
    </w:p>
    <w:p w14:paraId="5248BC8C" w14:textId="55DD461A" w:rsidR="00E317C2" w:rsidRPr="00042F25" w:rsidRDefault="00982DC9" w:rsidP="00231478">
      <w:r w:rsidRPr="00042F25">
        <w:t xml:space="preserve"> </w:t>
      </w:r>
      <w:r w:rsidR="00787398" w:rsidRPr="00EA348F">
        <w:t>A</w:t>
      </w:r>
      <w:r w:rsidR="00787398">
        <w:t xml:space="preserve"> </w:t>
      </w:r>
      <w:r w:rsidRPr="00042F25">
        <w:t>Seção 3 discute os descritivos gerais</w:t>
      </w:r>
      <w:r w:rsidR="00E317C2" w:rsidRPr="00042F25">
        <w:t>, enquanto a Seção 4</w:t>
      </w:r>
      <w:r w:rsidR="00245A0A" w:rsidRPr="00042F25">
        <w:t xml:space="preserve"> apresenta</w:t>
      </w:r>
      <w:r w:rsidR="00E317C2" w:rsidRPr="00042F25">
        <w:t xml:space="preserve"> as </w:t>
      </w:r>
      <w:r w:rsidRPr="00042F25">
        <w:t>informações de atendimento</w:t>
      </w:r>
      <w:r w:rsidR="005E1BFD">
        <w:t>. A</w:t>
      </w:r>
      <w:r w:rsidR="00E317C2" w:rsidRPr="00042F25">
        <w:t xml:space="preserve"> Seção 5 </w:t>
      </w:r>
      <w:r w:rsidR="005E1BFD">
        <w:t>traz</w:t>
      </w:r>
      <w:r w:rsidR="00E317C2" w:rsidRPr="00042F25">
        <w:t xml:space="preserve"> as informações de </w:t>
      </w:r>
      <w:r w:rsidRPr="00042F25">
        <w:t xml:space="preserve">eficiência operacional </w:t>
      </w:r>
      <w:r w:rsidR="001C6996">
        <w:t xml:space="preserve">e a Seção 6 </w:t>
      </w:r>
      <w:r w:rsidR="005E1BFD">
        <w:t xml:space="preserve"> indica </w:t>
      </w:r>
      <w:r w:rsidR="00E317C2" w:rsidRPr="00042F25">
        <w:t xml:space="preserve">as informações </w:t>
      </w:r>
      <w:r w:rsidR="005E1BFD">
        <w:t>relativas a</w:t>
      </w:r>
      <w:r w:rsidR="00251555" w:rsidRPr="00042F25">
        <w:t xml:space="preserve"> gestão corporativa</w:t>
      </w:r>
      <w:r w:rsidR="00E317C2" w:rsidRPr="00042F25">
        <w:t xml:space="preserve">. </w:t>
      </w:r>
    </w:p>
    <w:p w14:paraId="149A0FCD" w14:textId="09D4B7CB" w:rsidR="00245A0A" w:rsidRPr="00042F25" w:rsidRDefault="00E317C2" w:rsidP="00231478">
      <w:r w:rsidRPr="00042F25">
        <w:t>A Seção 7</w:t>
      </w:r>
      <w:r w:rsidR="00245A0A" w:rsidRPr="00042F25">
        <w:t xml:space="preserve"> traz as </w:t>
      </w:r>
      <w:r w:rsidR="0079334A">
        <w:t xml:space="preserve">principais conclusões do estudo, </w:t>
      </w:r>
      <w:r w:rsidR="0079334A" w:rsidRPr="00EA348F">
        <w:t>com comentários gerais e observações relacionadas com os dados colhidos para este relatório especificamente.</w:t>
      </w:r>
      <w:r w:rsidR="00ED14B4" w:rsidRPr="00272793">
        <w:rPr>
          <w:color w:val="FF0000"/>
        </w:rPr>
        <w:t xml:space="preserve"> </w:t>
      </w:r>
      <w:r w:rsidR="00ED14B4" w:rsidRPr="00EA348F">
        <w:t>Vale ressaltar, que todo relatório teve como base os indicadores obtidos de fontes públicas e que qualquer avaliação a partir deles, caso não represente a realidade local, deverá ser entendida exatamente no contexto do trabalho realizado, ou seja, sem visitas às CESB ou entrevistas a seus gestores. Não coube a consultoria neste relatório tratar causas ou efeitos que possam estar relacionados entre indicadores e o desempenho das empresas.</w:t>
      </w:r>
    </w:p>
    <w:p w14:paraId="61B2BD28" w14:textId="65C5205D" w:rsidR="00371A2D" w:rsidRPr="00042F25" w:rsidRDefault="00231478" w:rsidP="00E317C2">
      <w:r w:rsidRPr="00042F25">
        <w:t>Este documento foi elaborado com base em fontes, que estão devidamente citadas ao longo do texto.</w:t>
      </w:r>
      <w:r w:rsidR="00E317C2" w:rsidRPr="00042F25">
        <w:t xml:space="preserve"> A principal fonte que estruturará o relatório é o Sistema Nacional de Informações sobre Saneamento (SNIS 2015).</w:t>
      </w:r>
    </w:p>
    <w:p w14:paraId="56778AE4" w14:textId="77777777" w:rsidR="00E317C2" w:rsidRPr="00042F25" w:rsidRDefault="00E317C2" w:rsidP="00E317C2"/>
    <w:p w14:paraId="1E337594" w14:textId="6BF3165B" w:rsidR="008B154D" w:rsidRPr="00042F25" w:rsidRDefault="00960DFF" w:rsidP="008B154D">
      <w:pPr>
        <w:pStyle w:val="Ttulo1"/>
      </w:pPr>
      <w:bookmarkStart w:id="2" w:name="_Toc493094917"/>
      <w:r w:rsidRPr="00042F25">
        <w:lastRenderedPageBreak/>
        <w:t>Metodologia</w:t>
      </w:r>
      <w:bookmarkEnd w:id="2"/>
    </w:p>
    <w:p w14:paraId="685ACC31" w14:textId="77777777" w:rsidR="00F87C84" w:rsidRDefault="00B822BD" w:rsidP="0081797B">
      <w:r w:rsidRPr="00042F25">
        <w:t xml:space="preserve">Para </w:t>
      </w:r>
      <w:r w:rsidR="007A3F81" w:rsidRPr="00042F25">
        <w:t>desenvolvimento</w:t>
      </w:r>
      <w:r w:rsidRPr="00042F25">
        <w:t xml:space="preserve"> do </w:t>
      </w:r>
      <w:r w:rsidR="0081797B" w:rsidRPr="00042F25">
        <w:t>relatório</w:t>
      </w:r>
      <w:r w:rsidRPr="00042F25">
        <w:t xml:space="preserve">, a técnica de pesquisa utilizada foi de levantamento de dados e informações, direcionados para o objetivo principal que é </w:t>
      </w:r>
      <w:r w:rsidR="00FD6295" w:rsidRPr="00042F25">
        <w:t xml:space="preserve">avaliar o desempenho </w:t>
      </w:r>
      <w:r w:rsidRPr="00042F25">
        <w:t>das companhias esta</w:t>
      </w:r>
      <w:r w:rsidR="0081797B" w:rsidRPr="00042F25">
        <w:t xml:space="preserve">duais de saneamento do Brasil </w:t>
      </w:r>
      <w:r w:rsidRPr="00042F25">
        <w:t>com base em indicadores selecionados do SNIS.</w:t>
      </w:r>
      <w:r w:rsidR="0081797B" w:rsidRPr="00042F25">
        <w:t xml:space="preserve"> </w:t>
      </w:r>
    </w:p>
    <w:p w14:paraId="5ED8FEC3" w14:textId="03B8C8E0" w:rsidR="007669DF" w:rsidRPr="00042F25" w:rsidRDefault="00F87C84" w:rsidP="0081797B">
      <w:r>
        <w:t xml:space="preserve">Neste sentido, os indicadores utilizados, fazem parte das quatro categorias gerais de avaliação: </w:t>
      </w:r>
      <w:r w:rsidR="00651596">
        <w:t>a</w:t>
      </w:r>
      <w:r>
        <w:t xml:space="preserve">tendimento, eficiência operacional, eficiência de gestão corporativa e </w:t>
      </w:r>
      <w:r w:rsidR="00651596">
        <w:t xml:space="preserve">características </w:t>
      </w:r>
      <w:r>
        <w:t xml:space="preserve">descritivas gerais. No Quadro a seguir são apresentadas as categorias e indicadores selecionados para propósitos da avaliação. </w:t>
      </w:r>
    </w:p>
    <w:p w14:paraId="733A8506" w14:textId="677966E6" w:rsidR="0081797B" w:rsidRPr="00042F25" w:rsidRDefault="0081797B" w:rsidP="0081797B">
      <w:pPr>
        <w:pStyle w:val="Descripcin"/>
      </w:pPr>
      <w:bookmarkStart w:id="3" w:name="_Ref478628643"/>
      <w:bookmarkStart w:id="4" w:name="_Toc493222465"/>
      <w:r w:rsidRPr="00042F25">
        <w:t xml:space="preserve">Quadro </w:t>
      </w:r>
      <w:fldSimple w:instr=" SEQ Quadro \* ARABIC ">
        <w:r w:rsidRPr="00042F25">
          <w:rPr>
            <w:noProof/>
          </w:rPr>
          <w:t>1</w:t>
        </w:r>
      </w:fldSimple>
      <w:bookmarkEnd w:id="3"/>
      <w:r w:rsidRPr="00042F25">
        <w:t xml:space="preserve"> – Indicadores Categorizados</w:t>
      </w:r>
      <w:bookmarkEnd w:id="4"/>
    </w:p>
    <w:tbl>
      <w:tblPr>
        <w:tblW w:w="9124" w:type="dxa"/>
        <w:jc w:val="center"/>
        <w:tblCellMar>
          <w:left w:w="70" w:type="dxa"/>
          <w:right w:w="70" w:type="dxa"/>
        </w:tblCellMar>
        <w:tblLook w:val="04A0" w:firstRow="1" w:lastRow="0" w:firstColumn="1" w:lastColumn="0" w:noHBand="0" w:noVBand="1"/>
      </w:tblPr>
      <w:tblGrid>
        <w:gridCol w:w="2215"/>
        <w:gridCol w:w="2207"/>
        <w:gridCol w:w="2116"/>
        <w:gridCol w:w="2586"/>
      </w:tblGrid>
      <w:tr w:rsidR="006C799A" w:rsidRPr="00042F25" w14:paraId="22AB5EA3" w14:textId="77777777" w:rsidTr="00EA348F">
        <w:trPr>
          <w:trHeight w:val="600"/>
          <w:jc w:val="center"/>
        </w:trPr>
        <w:tc>
          <w:tcPr>
            <w:tcW w:w="2215" w:type="dxa"/>
            <w:tcBorders>
              <w:top w:val="single" w:sz="4" w:space="0" w:color="A9D08E"/>
              <w:left w:val="single" w:sz="4" w:space="0" w:color="A9D08E"/>
              <w:bottom w:val="single" w:sz="4" w:space="0" w:color="A9D08E"/>
              <w:right w:val="nil"/>
            </w:tcBorders>
            <w:shd w:val="clear" w:color="70AD47" w:fill="70AD47"/>
            <w:vAlign w:val="center"/>
            <w:hideMark/>
          </w:tcPr>
          <w:p w14:paraId="1CE71B15" w14:textId="77777777" w:rsidR="00BC4401" w:rsidRPr="00042F25" w:rsidRDefault="00BC4401" w:rsidP="00BC4401">
            <w:pPr>
              <w:spacing w:before="0" w:beforeAutospacing="0" w:after="0" w:afterAutospacing="0" w:line="240" w:lineRule="auto"/>
              <w:ind w:firstLine="0"/>
              <w:jc w:val="center"/>
              <w:rPr>
                <w:b/>
                <w:bCs/>
                <w:color w:val="FFFFFF"/>
                <w:sz w:val="22"/>
              </w:rPr>
            </w:pPr>
            <w:r w:rsidRPr="00042F25">
              <w:rPr>
                <w:b/>
                <w:bCs/>
                <w:color w:val="FFFFFF"/>
                <w:sz w:val="22"/>
              </w:rPr>
              <w:t>Descritivo Geral</w:t>
            </w:r>
          </w:p>
        </w:tc>
        <w:tc>
          <w:tcPr>
            <w:tcW w:w="2207" w:type="dxa"/>
            <w:tcBorders>
              <w:top w:val="single" w:sz="4" w:space="0" w:color="A9D08E"/>
              <w:left w:val="nil"/>
              <w:bottom w:val="single" w:sz="4" w:space="0" w:color="A9D08E"/>
              <w:right w:val="nil"/>
            </w:tcBorders>
            <w:shd w:val="clear" w:color="70AD47" w:fill="70AD47"/>
            <w:vAlign w:val="center"/>
            <w:hideMark/>
          </w:tcPr>
          <w:p w14:paraId="6906C0AE" w14:textId="77777777" w:rsidR="00BC4401" w:rsidRPr="00042F25" w:rsidRDefault="00BC4401" w:rsidP="00BC4401">
            <w:pPr>
              <w:spacing w:before="0" w:beforeAutospacing="0" w:after="0" w:afterAutospacing="0" w:line="240" w:lineRule="auto"/>
              <w:ind w:firstLine="0"/>
              <w:jc w:val="center"/>
              <w:rPr>
                <w:b/>
                <w:bCs/>
                <w:color w:val="FFFFFF"/>
                <w:sz w:val="22"/>
              </w:rPr>
            </w:pPr>
            <w:r w:rsidRPr="00042F25">
              <w:rPr>
                <w:b/>
                <w:bCs/>
                <w:color w:val="FFFFFF"/>
                <w:sz w:val="22"/>
              </w:rPr>
              <w:t>Atendimento</w:t>
            </w:r>
          </w:p>
        </w:tc>
        <w:tc>
          <w:tcPr>
            <w:tcW w:w="2116" w:type="dxa"/>
            <w:tcBorders>
              <w:top w:val="single" w:sz="4" w:space="0" w:color="A9D08E"/>
              <w:left w:val="nil"/>
              <w:bottom w:val="single" w:sz="4" w:space="0" w:color="A9D08E"/>
              <w:right w:val="nil"/>
            </w:tcBorders>
            <w:shd w:val="clear" w:color="70AD47" w:fill="70AD47"/>
            <w:vAlign w:val="center"/>
            <w:hideMark/>
          </w:tcPr>
          <w:p w14:paraId="431ABB10" w14:textId="77777777" w:rsidR="00BC4401" w:rsidRPr="00042F25" w:rsidRDefault="00BC4401" w:rsidP="00BC4401">
            <w:pPr>
              <w:spacing w:before="0" w:beforeAutospacing="0" w:after="0" w:afterAutospacing="0" w:line="240" w:lineRule="auto"/>
              <w:ind w:firstLine="0"/>
              <w:jc w:val="center"/>
              <w:rPr>
                <w:b/>
                <w:bCs/>
                <w:color w:val="FFFFFF"/>
                <w:sz w:val="22"/>
              </w:rPr>
            </w:pPr>
            <w:r w:rsidRPr="00042F25">
              <w:rPr>
                <w:b/>
                <w:bCs/>
                <w:color w:val="FFFFFF"/>
                <w:sz w:val="22"/>
              </w:rPr>
              <w:t>Eficiência operacional</w:t>
            </w:r>
          </w:p>
        </w:tc>
        <w:tc>
          <w:tcPr>
            <w:tcW w:w="0" w:type="auto"/>
            <w:tcBorders>
              <w:top w:val="single" w:sz="4" w:space="0" w:color="A9D08E"/>
              <w:left w:val="nil"/>
              <w:bottom w:val="single" w:sz="4" w:space="0" w:color="A9D08E"/>
              <w:right w:val="single" w:sz="4" w:space="0" w:color="A9D08E"/>
            </w:tcBorders>
            <w:shd w:val="clear" w:color="70AD47" w:fill="70AD47"/>
            <w:vAlign w:val="center"/>
            <w:hideMark/>
          </w:tcPr>
          <w:p w14:paraId="73872535" w14:textId="77777777" w:rsidR="00BC4401" w:rsidRPr="00042F25" w:rsidRDefault="00BC4401" w:rsidP="00BC4401">
            <w:pPr>
              <w:spacing w:before="0" w:beforeAutospacing="0" w:after="0" w:afterAutospacing="0" w:line="240" w:lineRule="auto"/>
              <w:ind w:firstLine="0"/>
              <w:jc w:val="center"/>
              <w:rPr>
                <w:b/>
                <w:bCs/>
                <w:color w:val="FFFFFF"/>
                <w:sz w:val="22"/>
              </w:rPr>
            </w:pPr>
            <w:r w:rsidRPr="00042F25">
              <w:rPr>
                <w:b/>
                <w:bCs/>
                <w:color w:val="FFFFFF"/>
                <w:sz w:val="22"/>
              </w:rPr>
              <w:t>Eficiência de gestão corporativa</w:t>
            </w:r>
          </w:p>
        </w:tc>
      </w:tr>
      <w:tr w:rsidR="006C799A" w:rsidRPr="00042F25" w14:paraId="067AB319" w14:textId="77777777" w:rsidTr="00EA348F">
        <w:trPr>
          <w:trHeight w:val="414"/>
          <w:jc w:val="center"/>
        </w:trPr>
        <w:tc>
          <w:tcPr>
            <w:tcW w:w="2215" w:type="dxa"/>
            <w:tcBorders>
              <w:top w:val="single" w:sz="4" w:space="0" w:color="A9D08E"/>
              <w:left w:val="single" w:sz="4" w:space="0" w:color="A9D08E"/>
              <w:bottom w:val="single" w:sz="4" w:space="0" w:color="A9D08E"/>
              <w:right w:val="nil"/>
            </w:tcBorders>
            <w:shd w:val="clear" w:color="E2EFDA" w:fill="E2EFDA"/>
            <w:vAlign w:val="center"/>
            <w:hideMark/>
          </w:tcPr>
          <w:p w14:paraId="235A5AC6"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GE005 – Quantidade total de municípios atendidos</w:t>
            </w:r>
          </w:p>
        </w:tc>
        <w:tc>
          <w:tcPr>
            <w:tcW w:w="2207" w:type="dxa"/>
            <w:tcBorders>
              <w:top w:val="single" w:sz="4" w:space="0" w:color="A9D08E"/>
              <w:left w:val="nil"/>
              <w:bottom w:val="single" w:sz="4" w:space="0" w:color="A9D08E"/>
              <w:right w:val="nil"/>
            </w:tcBorders>
            <w:shd w:val="clear" w:color="E2EFDA" w:fill="E2EFDA"/>
            <w:vAlign w:val="center"/>
            <w:hideMark/>
          </w:tcPr>
          <w:p w14:paraId="5C592350"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IN015 – Índice de coleta de esgoto</w:t>
            </w:r>
          </w:p>
        </w:tc>
        <w:tc>
          <w:tcPr>
            <w:tcW w:w="2116" w:type="dxa"/>
            <w:tcBorders>
              <w:top w:val="single" w:sz="4" w:space="0" w:color="A9D08E"/>
              <w:left w:val="nil"/>
              <w:bottom w:val="single" w:sz="4" w:space="0" w:color="A9D08E"/>
              <w:right w:val="nil"/>
            </w:tcBorders>
            <w:shd w:val="clear" w:color="E2EFDA" w:fill="E2EFDA"/>
            <w:vAlign w:val="center"/>
            <w:hideMark/>
          </w:tcPr>
          <w:p w14:paraId="62AC958B"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IN002 – Índice de produtividade: economias ativas por pessoal próprio</w:t>
            </w:r>
          </w:p>
        </w:tc>
        <w:tc>
          <w:tcPr>
            <w:tcW w:w="0" w:type="auto"/>
            <w:tcBorders>
              <w:top w:val="single" w:sz="4" w:space="0" w:color="A9D08E"/>
              <w:left w:val="nil"/>
              <w:bottom w:val="single" w:sz="4" w:space="0" w:color="A9D08E"/>
              <w:right w:val="single" w:sz="4" w:space="0" w:color="A9D08E"/>
            </w:tcBorders>
            <w:shd w:val="clear" w:color="E2EFDA" w:fill="E2EFDA"/>
            <w:vAlign w:val="center"/>
            <w:hideMark/>
          </w:tcPr>
          <w:p w14:paraId="11F1DB67"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IN003 – Despesa total com os serviços por m3 faturado</w:t>
            </w:r>
          </w:p>
        </w:tc>
      </w:tr>
      <w:tr w:rsidR="006C799A" w:rsidRPr="00042F25" w14:paraId="0CA10084" w14:textId="77777777" w:rsidTr="00EA348F">
        <w:trPr>
          <w:trHeight w:val="386"/>
          <w:jc w:val="center"/>
        </w:trPr>
        <w:tc>
          <w:tcPr>
            <w:tcW w:w="2215" w:type="dxa"/>
            <w:tcBorders>
              <w:top w:val="single" w:sz="4" w:space="0" w:color="A9D08E"/>
              <w:left w:val="single" w:sz="4" w:space="0" w:color="A9D08E"/>
              <w:bottom w:val="single" w:sz="4" w:space="0" w:color="A9D08E"/>
              <w:right w:val="nil"/>
            </w:tcBorders>
            <w:shd w:val="clear" w:color="auto" w:fill="auto"/>
            <w:vAlign w:val="center"/>
            <w:hideMark/>
          </w:tcPr>
          <w:p w14:paraId="2C356DCC"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GE005a – Quantidade total de municípios atendidos com abastecimento de água</w:t>
            </w:r>
          </w:p>
        </w:tc>
        <w:tc>
          <w:tcPr>
            <w:tcW w:w="2207" w:type="dxa"/>
            <w:tcBorders>
              <w:top w:val="single" w:sz="4" w:space="0" w:color="A9D08E"/>
              <w:left w:val="nil"/>
              <w:bottom w:val="single" w:sz="4" w:space="0" w:color="A9D08E"/>
              <w:right w:val="nil"/>
            </w:tcBorders>
            <w:shd w:val="clear" w:color="auto" w:fill="auto"/>
            <w:vAlign w:val="center"/>
            <w:hideMark/>
          </w:tcPr>
          <w:p w14:paraId="18C1E8EE"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IN046 – Índice de esgoto tratado referido à água consumida</w:t>
            </w:r>
          </w:p>
        </w:tc>
        <w:tc>
          <w:tcPr>
            <w:tcW w:w="2116" w:type="dxa"/>
            <w:tcBorders>
              <w:top w:val="single" w:sz="4" w:space="0" w:color="A9D08E"/>
              <w:left w:val="nil"/>
              <w:bottom w:val="single" w:sz="4" w:space="0" w:color="A9D08E"/>
              <w:right w:val="nil"/>
            </w:tcBorders>
            <w:shd w:val="clear" w:color="auto" w:fill="auto"/>
            <w:vAlign w:val="center"/>
            <w:hideMark/>
          </w:tcPr>
          <w:p w14:paraId="6211A051"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IN019 – Índice de produtividade: economias ativas por pessoal total (equiv.)</w:t>
            </w:r>
          </w:p>
        </w:tc>
        <w:tc>
          <w:tcPr>
            <w:tcW w:w="0" w:type="auto"/>
            <w:tcBorders>
              <w:top w:val="single" w:sz="4" w:space="0" w:color="A9D08E"/>
              <w:left w:val="nil"/>
              <w:bottom w:val="single" w:sz="4" w:space="0" w:color="A9D08E"/>
              <w:right w:val="single" w:sz="4" w:space="0" w:color="A9D08E"/>
            </w:tcBorders>
            <w:shd w:val="clear" w:color="auto" w:fill="auto"/>
            <w:vAlign w:val="center"/>
            <w:hideMark/>
          </w:tcPr>
          <w:p w14:paraId="5940238F" w14:textId="59FE7FE6"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w:t>
            </w:r>
            <w:r w:rsidR="006C799A">
              <w:rPr>
                <w:color w:val="000000"/>
                <w:sz w:val="22"/>
              </w:rPr>
              <w:t>68</w:t>
            </w:r>
            <w:r w:rsidRPr="00042F25">
              <w:rPr>
                <w:color w:val="000000"/>
                <w:sz w:val="22"/>
              </w:rPr>
              <w:t xml:space="preserve"> – </w:t>
            </w:r>
            <w:r w:rsidR="006C799A">
              <w:rPr>
                <w:color w:val="000000"/>
                <w:sz w:val="22"/>
              </w:rPr>
              <w:t>Margem operacional sem depreciação</w:t>
            </w:r>
          </w:p>
        </w:tc>
      </w:tr>
      <w:tr w:rsidR="006C799A" w:rsidRPr="00042F25" w14:paraId="420030DC" w14:textId="77777777" w:rsidTr="00EA348F">
        <w:trPr>
          <w:trHeight w:val="75"/>
          <w:jc w:val="center"/>
        </w:trPr>
        <w:tc>
          <w:tcPr>
            <w:tcW w:w="2215" w:type="dxa"/>
            <w:tcBorders>
              <w:top w:val="single" w:sz="4" w:space="0" w:color="A9D08E"/>
              <w:left w:val="single" w:sz="4" w:space="0" w:color="A9D08E"/>
              <w:bottom w:val="single" w:sz="4" w:space="0" w:color="A9D08E"/>
              <w:right w:val="nil"/>
            </w:tcBorders>
            <w:shd w:val="clear" w:color="E2EFDA" w:fill="E2EFDA"/>
            <w:vAlign w:val="center"/>
            <w:hideMark/>
          </w:tcPr>
          <w:p w14:paraId="179D7A15"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GE005b – Quantidade de municípios atendidos com esgotamento sanitário</w:t>
            </w:r>
          </w:p>
        </w:tc>
        <w:tc>
          <w:tcPr>
            <w:tcW w:w="2207" w:type="dxa"/>
            <w:tcBorders>
              <w:top w:val="single" w:sz="4" w:space="0" w:color="A9D08E"/>
              <w:left w:val="nil"/>
              <w:bottom w:val="single" w:sz="4" w:space="0" w:color="A9D08E"/>
              <w:right w:val="nil"/>
            </w:tcBorders>
            <w:shd w:val="clear" w:color="E2EFDA" w:fill="E2EFDA"/>
            <w:vAlign w:val="center"/>
            <w:hideMark/>
          </w:tcPr>
          <w:p w14:paraId="0F613EF7"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IN023 – Índice de atendimento urbano de água</w:t>
            </w:r>
          </w:p>
        </w:tc>
        <w:tc>
          <w:tcPr>
            <w:tcW w:w="2116" w:type="dxa"/>
            <w:tcBorders>
              <w:top w:val="single" w:sz="4" w:space="0" w:color="A9D08E"/>
              <w:left w:val="nil"/>
              <w:bottom w:val="single" w:sz="4" w:space="0" w:color="A9D08E"/>
              <w:right w:val="nil"/>
            </w:tcBorders>
            <w:shd w:val="clear" w:color="E2EFDA" w:fill="E2EFDA"/>
            <w:vAlign w:val="center"/>
            <w:hideMark/>
          </w:tcPr>
          <w:p w14:paraId="20B93A36"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IN026 – Despesas de exploração por m3 faturado</w:t>
            </w:r>
          </w:p>
        </w:tc>
        <w:tc>
          <w:tcPr>
            <w:tcW w:w="0" w:type="auto"/>
            <w:tcBorders>
              <w:top w:val="single" w:sz="4" w:space="0" w:color="A9D08E"/>
              <w:left w:val="nil"/>
              <w:bottom w:val="single" w:sz="4" w:space="0" w:color="A9D08E"/>
              <w:right w:val="single" w:sz="4" w:space="0" w:color="A9D08E"/>
            </w:tcBorders>
            <w:shd w:val="clear" w:color="E2EFDA" w:fill="E2EFDA"/>
            <w:vAlign w:val="center"/>
            <w:hideMark/>
          </w:tcPr>
          <w:p w14:paraId="7CFAF118"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IN029 – Índice de evasão de receitas</w:t>
            </w:r>
          </w:p>
        </w:tc>
      </w:tr>
      <w:tr w:rsidR="006C799A" w:rsidRPr="00042F25" w14:paraId="16B36034" w14:textId="77777777" w:rsidTr="00EA348F">
        <w:trPr>
          <w:trHeight w:val="70"/>
          <w:jc w:val="center"/>
        </w:trPr>
        <w:tc>
          <w:tcPr>
            <w:tcW w:w="2215" w:type="dxa"/>
            <w:tcBorders>
              <w:top w:val="single" w:sz="4" w:space="0" w:color="A9D08E"/>
              <w:left w:val="single" w:sz="4" w:space="0" w:color="A9D08E"/>
              <w:bottom w:val="single" w:sz="4" w:space="0" w:color="A9D08E"/>
              <w:right w:val="nil"/>
            </w:tcBorders>
            <w:shd w:val="clear" w:color="auto" w:fill="auto"/>
            <w:vAlign w:val="center"/>
            <w:hideMark/>
          </w:tcPr>
          <w:p w14:paraId="1C5F4D9A"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IN004 – Tarifa média praticada</w:t>
            </w:r>
          </w:p>
        </w:tc>
        <w:tc>
          <w:tcPr>
            <w:tcW w:w="2207" w:type="dxa"/>
            <w:tcBorders>
              <w:top w:val="single" w:sz="4" w:space="0" w:color="A9D08E"/>
              <w:left w:val="nil"/>
              <w:bottom w:val="single" w:sz="4" w:space="0" w:color="A9D08E"/>
              <w:right w:val="nil"/>
            </w:tcBorders>
            <w:shd w:val="clear" w:color="auto" w:fill="auto"/>
            <w:vAlign w:val="center"/>
            <w:hideMark/>
          </w:tcPr>
          <w:p w14:paraId="0F30D315"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IN055 – Índice de atendimento total de água</w:t>
            </w:r>
          </w:p>
        </w:tc>
        <w:tc>
          <w:tcPr>
            <w:tcW w:w="2116" w:type="dxa"/>
            <w:tcBorders>
              <w:top w:val="single" w:sz="4" w:space="0" w:color="A9D08E"/>
              <w:left w:val="nil"/>
              <w:bottom w:val="single" w:sz="4" w:space="0" w:color="A9D08E"/>
              <w:right w:val="nil"/>
            </w:tcBorders>
            <w:shd w:val="clear" w:color="auto" w:fill="auto"/>
            <w:vAlign w:val="center"/>
            <w:hideMark/>
          </w:tcPr>
          <w:p w14:paraId="5F1E80B4" w14:textId="53C8072D"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 xml:space="preserve">IN013 – Índice de perdas </w:t>
            </w:r>
            <w:r w:rsidR="00C23645" w:rsidRPr="00042F25">
              <w:rPr>
                <w:color w:val="000000"/>
                <w:sz w:val="22"/>
              </w:rPr>
              <w:t xml:space="preserve">no </w:t>
            </w:r>
            <w:r w:rsidRPr="00042F25">
              <w:rPr>
                <w:color w:val="000000"/>
                <w:sz w:val="22"/>
              </w:rPr>
              <w:t>faturamento</w:t>
            </w:r>
          </w:p>
        </w:tc>
        <w:tc>
          <w:tcPr>
            <w:tcW w:w="0" w:type="auto"/>
            <w:tcBorders>
              <w:top w:val="single" w:sz="4" w:space="0" w:color="A9D08E"/>
              <w:left w:val="nil"/>
              <w:bottom w:val="single" w:sz="4" w:space="0" w:color="A9D08E"/>
              <w:right w:val="single" w:sz="4" w:space="0" w:color="A9D08E"/>
            </w:tcBorders>
            <w:shd w:val="clear" w:color="auto" w:fill="auto"/>
            <w:vAlign w:val="center"/>
            <w:hideMark/>
          </w:tcPr>
          <w:p w14:paraId="303C5C72" w14:textId="710E1576" w:rsidR="00BC4401" w:rsidRPr="0079334A" w:rsidRDefault="00BC4401" w:rsidP="00BC4401">
            <w:pPr>
              <w:spacing w:before="0" w:beforeAutospacing="0" w:after="0" w:afterAutospacing="0" w:line="240" w:lineRule="auto"/>
              <w:ind w:firstLine="0"/>
              <w:jc w:val="center"/>
              <w:rPr>
                <w:color w:val="FF0000"/>
                <w:sz w:val="22"/>
              </w:rPr>
            </w:pPr>
            <w:r w:rsidRPr="00EA348F">
              <w:rPr>
                <w:color w:val="000000"/>
                <w:sz w:val="22"/>
              </w:rPr>
              <w:t>IN06</w:t>
            </w:r>
            <w:r w:rsidR="006C799A">
              <w:rPr>
                <w:color w:val="000000"/>
                <w:sz w:val="22"/>
              </w:rPr>
              <w:t>1</w:t>
            </w:r>
            <w:r w:rsidRPr="00EA348F">
              <w:rPr>
                <w:color w:val="000000"/>
                <w:sz w:val="22"/>
              </w:rPr>
              <w:t xml:space="preserve"> - Liquidez </w:t>
            </w:r>
            <w:r w:rsidR="006C799A">
              <w:rPr>
                <w:color w:val="000000"/>
                <w:sz w:val="22"/>
              </w:rPr>
              <w:t>Corrente</w:t>
            </w:r>
          </w:p>
        </w:tc>
      </w:tr>
      <w:tr w:rsidR="006C799A" w:rsidRPr="00042F25" w14:paraId="383CD5E6" w14:textId="77777777" w:rsidTr="00EA348F">
        <w:trPr>
          <w:trHeight w:val="847"/>
          <w:jc w:val="center"/>
        </w:trPr>
        <w:tc>
          <w:tcPr>
            <w:tcW w:w="2215" w:type="dxa"/>
            <w:tcBorders>
              <w:top w:val="single" w:sz="4" w:space="0" w:color="A9D08E"/>
              <w:left w:val="single" w:sz="4" w:space="0" w:color="A9D08E"/>
              <w:bottom w:val="single" w:sz="4" w:space="0" w:color="A9D08E"/>
              <w:right w:val="nil"/>
            </w:tcBorders>
            <w:shd w:val="clear" w:color="E2EFDA" w:fill="E2EFDA"/>
            <w:vAlign w:val="center"/>
            <w:hideMark/>
          </w:tcPr>
          <w:p w14:paraId="7A7E55BF" w14:textId="1EA8D46C"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IN022 – Consumo médio per</w:t>
            </w:r>
            <w:r w:rsidR="00967486" w:rsidRPr="00042F25">
              <w:rPr>
                <w:color w:val="000000"/>
                <w:sz w:val="22"/>
              </w:rPr>
              <w:t xml:space="preserve"> </w:t>
            </w:r>
            <w:r w:rsidRPr="00042F25">
              <w:rPr>
                <w:color w:val="000000"/>
                <w:sz w:val="22"/>
              </w:rPr>
              <w:t>capita de água</w:t>
            </w:r>
          </w:p>
        </w:tc>
        <w:tc>
          <w:tcPr>
            <w:tcW w:w="2207" w:type="dxa"/>
            <w:tcBorders>
              <w:top w:val="single" w:sz="4" w:space="0" w:color="A9D08E"/>
              <w:left w:val="nil"/>
              <w:bottom w:val="single" w:sz="4" w:space="0" w:color="A9D08E"/>
              <w:right w:val="nil"/>
            </w:tcBorders>
            <w:shd w:val="clear" w:color="E2EFDA" w:fill="E2EFDA"/>
            <w:vAlign w:val="center"/>
            <w:hideMark/>
          </w:tcPr>
          <w:p w14:paraId="5BAC7CB1"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IN024 – Índice de atendimento urbano de esgoto referido aos municípios atendidos com água</w:t>
            </w:r>
          </w:p>
        </w:tc>
        <w:tc>
          <w:tcPr>
            <w:tcW w:w="2116" w:type="dxa"/>
            <w:tcBorders>
              <w:top w:val="single" w:sz="4" w:space="0" w:color="A9D08E"/>
              <w:left w:val="nil"/>
              <w:bottom w:val="single" w:sz="4" w:space="0" w:color="A9D08E"/>
              <w:right w:val="nil"/>
            </w:tcBorders>
            <w:shd w:val="clear" w:color="E2EFDA" w:fill="E2EFDA"/>
            <w:vAlign w:val="center"/>
            <w:hideMark/>
          </w:tcPr>
          <w:p w14:paraId="03387955"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IN049 – Índice de perdas na distribuição</w:t>
            </w:r>
          </w:p>
        </w:tc>
        <w:tc>
          <w:tcPr>
            <w:tcW w:w="0" w:type="auto"/>
            <w:tcBorders>
              <w:top w:val="single" w:sz="4" w:space="0" w:color="A9D08E"/>
              <w:left w:val="nil"/>
              <w:bottom w:val="single" w:sz="4" w:space="0" w:color="A9D08E"/>
              <w:right w:val="single" w:sz="4" w:space="0" w:color="A9D08E"/>
            </w:tcBorders>
            <w:shd w:val="clear" w:color="E2EFDA" w:fill="E2EFDA"/>
            <w:vAlign w:val="center"/>
            <w:hideMark/>
          </w:tcPr>
          <w:p w14:paraId="28935BFE"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IN063 – Grau de endividamento</w:t>
            </w:r>
          </w:p>
        </w:tc>
      </w:tr>
      <w:tr w:rsidR="006C799A" w:rsidRPr="00042F25" w14:paraId="6A9C310D" w14:textId="77777777" w:rsidTr="00EA348F">
        <w:trPr>
          <w:trHeight w:val="632"/>
          <w:jc w:val="center"/>
        </w:trPr>
        <w:tc>
          <w:tcPr>
            <w:tcW w:w="2215" w:type="dxa"/>
            <w:tcBorders>
              <w:top w:val="single" w:sz="4" w:space="0" w:color="A9D08E"/>
              <w:left w:val="single" w:sz="4" w:space="0" w:color="A9D08E"/>
              <w:bottom w:val="single" w:sz="4" w:space="0" w:color="A9D08E"/>
              <w:right w:val="nil"/>
            </w:tcBorders>
            <w:shd w:val="clear" w:color="auto" w:fill="auto"/>
            <w:vAlign w:val="center"/>
            <w:hideMark/>
          </w:tcPr>
          <w:p w14:paraId="10E6B2FF"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IN053 – Consumo médio de água por economia</w:t>
            </w:r>
          </w:p>
        </w:tc>
        <w:tc>
          <w:tcPr>
            <w:tcW w:w="2207" w:type="dxa"/>
            <w:tcBorders>
              <w:top w:val="single" w:sz="4" w:space="0" w:color="A9D08E"/>
              <w:left w:val="nil"/>
              <w:bottom w:val="single" w:sz="4" w:space="0" w:color="A9D08E"/>
              <w:right w:val="nil"/>
            </w:tcBorders>
            <w:shd w:val="clear" w:color="auto" w:fill="auto"/>
            <w:vAlign w:val="center"/>
            <w:hideMark/>
          </w:tcPr>
          <w:p w14:paraId="7D6D9D53"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IN056 – Índice de atendimento total de esgoto referido aos municípios atendidos com água</w:t>
            </w:r>
          </w:p>
        </w:tc>
        <w:tc>
          <w:tcPr>
            <w:tcW w:w="2116" w:type="dxa"/>
            <w:tcBorders>
              <w:top w:val="single" w:sz="4" w:space="0" w:color="A9D08E"/>
              <w:left w:val="nil"/>
              <w:bottom w:val="single" w:sz="4" w:space="0" w:color="A9D08E"/>
              <w:right w:val="nil"/>
            </w:tcBorders>
            <w:shd w:val="clear" w:color="auto" w:fill="auto"/>
            <w:vAlign w:val="center"/>
            <w:hideMark/>
          </w:tcPr>
          <w:p w14:paraId="71397E4C"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IN051 – Índice de perdas por ligação</w:t>
            </w:r>
          </w:p>
        </w:tc>
        <w:tc>
          <w:tcPr>
            <w:tcW w:w="0" w:type="auto"/>
            <w:tcBorders>
              <w:top w:val="single" w:sz="4" w:space="0" w:color="A9D08E"/>
              <w:left w:val="nil"/>
              <w:bottom w:val="single" w:sz="4" w:space="0" w:color="A9D08E"/>
              <w:right w:val="single" w:sz="4" w:space="0" w:color="A9D08E"/>
            </w:tcBorders>
            <w:shd w:val="clear" w:color="auto" w:fill="auto"/>
            <w:vAlign w:val="center"/>
            <w:hideMark/>
          </w:tcPr>
          <w:p w14:paraId="45AF2145" w14:textId="781D11AA" w:rsidR="00BC4401" w:rsidRPr="001E0266" w:rsidRDefault="00BC4401" w:rsidP="00BC4401">
            <w:pPr>
              <w:spacing w:before="0" w:beforeAutospacing="0" w:after="0" w:afterAutospacing="0" w:line="240" w:lineRule="auto"/>
              <w:ind w:firstLine="0"/>
              <w:jc w:val="center"/>
              <w:rPr>
                <w:color w:val="FF0000"/>
                <w:sz w:val="22"/>
              </w:rPr>
            </w:pPr>
            <w:r w:rsidRPr="00EA348F">
              <w:rPr>
                <w:color w:val="000000"/>
                <w:sz w:val="22"/>
              </w:rPr>
              <w:t>IN</w:t>
            </w:r>
            <w:r w:rsidR="00502B93">
              <w:rPr>
                <w:color w:val="000000"/>
                <w:sz w:val="22"/>
              </w:rPr>
              <w:t>101</w:t>
            </w:r>
            <w:r w:rsidRPr="00EA348F">
              <w:rPr>
                <w:color w:val="000000"/>
                <w:sz w:val="22"/>
              </w:rPr>
              <w:t xml:space="preserve"> – Índice de suficiência de caixa</w:t>
            </w:r>
            <w:r w:rsidR="001E0266">
              <w:rPr>
                <w:color w:val="000000"/>
                <w:sz w:val="22"/>
              </w:rPr>
              <w:t xml:space="preserve"> </w:t>
            </w:r>
          </w:p>
        </w:tc>
      </w:tr>
      <w:tr w:rsidR="006C799A" w:rsidRPr="00042F25" w14:paraId="3E1FCEDB" w14:textId="77777777" w:rsidTr="00EA348F">
        <w:trPr>
          <w:trHeight w:val="70"/>
          <w:jc w:val="center"/>
        </w:trPr>
        <w:tc>
          <w:tcPr>
            <w:tcW w:w="2215" w:type="dxa"/>
            <w:tcBorders>
              <w:top w:val="single" w:sz="4" w:space="0" w:color="A9D08E"/>
              <w:left w:val="single" w:sz="4" w:space="0" w:color="A9D08E"/>
              <w:bottom w:val="single" w:sz="4" w:space="0" w:color="A9D08E"/>
              <w:right w:val="nil"/>
            </w:tcBorders>
            <w:shd w:val="clear" w:color="E2EFDA" w:fill="E2EFDA"/>
            <w:vAlign w:val="center"/>
            <w:hideMark/>
          </w:tcPr>
          <w:p w14:paraId="0512A986" w14:textId="77777777" w:rsidR="00BC4401" w:rsidRPr="00042F25" w:rsidRDefault="00BC4401" w:rsidP="00BC4401">
            <w:pPr>
              <w:spacing w:before="0" w:beforeAutospacing="0" w:after="0" w:afterAutospacing="0" w:line="240" w:lineRule="auto"/>
              <w:ind w:firstLine="0"/>
              <w:jc w:val="center"/>
              <w:rPr>
                <w:color w:val="000000"/>
                <w:sz w:val="22"/>
              </w:rPr>
            </w:pPr>
            <w:r w:rsidRPr="00042F25">
              <w:rPr>
                <w:color w:val="000000"/>
                <w:sz w:val="22"/>
              </w:rPr>
              <w:t>IN025 – Volume de água disponibilizado por economia</w:t>
            </w:r>
          </w:p>
        </w:tc>
        <w:tc>
          <w:tcPr>
            <w:tcW w:w="2207" w:type="dxa"/>
            <w:tcBorders>
              <w:top w:val="single" w:sz="4" w:space="0" w:color="A9D08E"/>
              <w:left w:val="nil"/>
              <w:bottom w:val="single" w:sz="4" w:space="0" w:color="A9D08E"/>
              <w:right w:val="nil"/>
            </w:tcBorders>
            <w:shd w:val="clear" w:color="E2EFDA" w:fill="E2EFDA"/>
            <w:vAlign w:val="center"/>
            <w:hideMark/>
          </w:tcPr>
          <w:p w14:paraId="37FE3F70" w14:textId="77777777" w:rsidR="00BC4401" w:rsidRPr="00042F25" w:rsidRDefault="00BC4401" w:rsidP="00BC4401">
            <w:pPr>
              <w:spacing w:before="0" w:beforeAutospacing="0" w:after="0" w:afterAutospacing="0" w:line="240" w:lineRule="auto"/>
              <w:ind w:firstLine="0"/>
              <w:jc w:val="center"/>
              <w:rPr>
                <w:color w:val="000000"/>
                <w:sz w:val="22"/>
              </w:rPr>
            </w:pPr>
          </w:p>
        </w:tc>
        <w:tc>
          <w:tcPr>
            <w:tcW w:w="2116" w:type="dxa"/>
            <w:tcBorders>
              <w:top w:val="single" w:sz="4" w:space="0" w:color="A9D08E"/>
              <w:left w:val="nil"/>
              <w:bottom w:val="single" w:sz="4" w:space="0" w:color="A9D08E"/>
              <w:right w:val="nil"/>
            </w:tcBorders>
            <w:shd w:val="clear" w:color="E2EFDA" w:fill="E2EFDA"/>
            <w:vAlign w:val="center"/>
            <w:hideMark/>
          </w:tcPr>
          <w:p w14:paraId="2FD489A6" w14:textId="77777777" w:rsidR="00BC4401" w:rsidRPr="00042F25" w:rsidRDefault="00BC4401" w:rsidP="00BC4401">
            <w:pPr>
              <w:spacing w:before="0" w:beforeAutospacing="0" w:after="0" w:afterAutospacing="0" w:line="240" w:lineRule="auto"/>
              <w:ind w:firstLine="0"/>
              <w:jc w:val="center"/>
              <w:rPr>
                <w:sz w:val="20"/>
                <w:szCs w:val="20"/>
              </w:rPr>
            </w:pPr>
          </w:p>
        </w:tc>
        <w:tc>
          <w:tcPr>
            <w:tcW w:w="0" w:type="auto"/>
            <w:tcBorders>
              <w:top w:val="single" w:sz="4" w:space="0" w:color="A9D08E"/>
              <w:left w:val="nil"/>
              <w:bottom w:val="single" w:sz="4" w:space="0" w:color="A9D08E"/>
              <w:right w:val="single" w:sz="4" w:space="0" w:color="A9D08E"/>
            </w:tcBorders>
            <w:shd w:val="clear" w:color="E2EFDA" w:fill="E2EFDA"/>
            <w:vAlign w:val="center"/>
            <w:hideMark/>
          </w:tcPr>
          <w:p w14:paraId="07B1769B" w14:textId="77777777" w:rsidR="00BC4401" w:rsidRPr="00042F25" w:rsidRDefault="00BC4401" w:rsidP="00BC4401">
            <w:pPr>
              <w:spacing w:before="0" w:beforeAutospacing="0" w:after="0" w:afterAutospacing="0" w:line="240" w:lineRule="auto"/>
              <w:ind w:firstLine="0"/>
              <w:jc w:val="center"/>
              <w:rPr>
                <w:sz w:val="20"/>
                <w:szCs w:val="20"/>
              </w:rPr>
            </w:pPr>
          </w:p>
        </w:tc>
      </w:tr>
    </w:tbl>
    <w:p w14:paraId="136EE152" w14:textId="77777777" w:rsidR="0081797B" w:rsidRDefault="0081797B" w:rsidP="0081797B">
      <w:pPr>
        <w:pStyle w:val="Descripcin"/>
        <w:spacing w:before="0" w:beforeAutospacing="0"/>
        <w:jc w:val="left"/>
        <w:rPr>
          <w:sz w:val="20"/>
        </w:rPr>
      </w:pPr>
      <w:r w:rsidRPr="00042F25">
        <w:rPr>
          <w:sz w:val="20"/>
        </w:rPr>
        <w:lastRenderedPageBreak/>
        <w:t>Fonte: SNIS 2015. Elaborado por: GO Associados</w:t>
      </w:r>
    </w:p>
    <w:p w14:paraId="7D89C739" w14:textId="2F95C1DE" w:rsidR="00D35A56" w:rsidRDefault="002870FB" w:rsidP="00272793">
      <w:r>
        <w:t xml:space="preserve">Com o </w:t>
      </w:r>
      <w:r w:rsidR="00D35A56">
        <w:t>propósito</w:t>
      </w:r>
      <w:r>
        <w:t xml:space="preserve"> de avaliar o </w:t>
      </w:r>
      <w:r w:rsidR="00D35A56">
        <w:t>desempenho</w:t>
      </w:r>
      <w:r>
        <w:t xml:space="preserve"> das</w:t>
      </w:r>
      <w:r w:rsidR="00D20543">
        <w:t xml:space="preserve"> 25</w:t>
      </w:r>
      <w:r>
        <w:t xml:space="preserve"> empresas de forma comparativa, os indicadores de cada uma das quatro categorias </w:t>
      </w:r>
      <w:r w:rsidR="00D35A56">
        <w:t xml:space="preserve">são </w:t>
      </w:r>
      <w:r w:rsidR="00D21F17">
        <w:t>hierarquizados</w:t>
      </w:r>
      <w:r w:rsidR="00D35A56">
        <w:t xml:space="preserve"> </w:t>
      </w:r>
      <w:r w:rsidR="00A0511A">
        <w:t>utiliza</w:t>
      </w:r>
      <w:r w:rsidR="00AD258A">
        <w:t>n</w:t>
      </w:r>
      <w:r w:rsidR="00A0511A">
        <w:t>do o critério de maior eficiência a menor eficiência</w:t>
      </w:r>
      <w:r w:rsidR="00AD258A">
        <w:t xml:space="preserve"> e classificados </w:t>
      </w:r>
      <w:r w:rsidR="00D35A56">
        <w:t>com os valores a seguir:</w:t>
      </w:r>
    </w:p>
    <w:p w14:paraId="38DC1641" w14:textId="151769A4" w:rsidR="00D35A56" w:rsidRDefault="00D35A56" w:rsidP="00EA348F">
      <w:pPr>
        <w:pStyle w:val="Prrafodelista"/>
        <w:numPr>
          <w:ilvl w:val="0"/>
          <w:numId w:val="45"/>
        </w:numPr>
      </w:pPr>
      <w:r>
        <w:t>V</w:t>
      </w:r>
      <w:r w:rsidR="0065313C">
        <w:t>erde: 1º a 8</w:t>
      </w:r>
      <w:r>
        <w:t>º lugar</w:t>
      </w:r>
      <w:r w:rsidR="002870FB" w:rsidRPr="00042F25">
        <w:t xml:space="preserve"> </w:t>
      </w:r>
    </w:p>
    <w:p w14:paraId="04E2D7F1" w14:textId="7EA87876" w:rsidR="00D35A56" w:rsidRDefault="00D35A56" w:rsidP="00EA348F">
      <w:pPr>
        <w:pStyle w:val="Prrafodelista"/>
        <w:numPr>
          <w:ilvl w:val="0"/>
          <w:numId w:val="45"/>
        </w:numPr>
      </w:pPr>
      <w:r>
        <w:t>A</w:t>
      </w:r>
      <w:r w:rsidR="0065313C">
        <w:t>marelo: 9º a 16</w:t>
      </w:r>
      <w:r>
        <w:t xml:space="preserve">º lugar </w:t>
      </w:r>
    </w:p>
    <w:p w14:paraId="2911AD3F" w14:textId="04DC704B" w:rsidR="002870FB" w:rsidRPr="00EA348F" w:rsidRDefault="00D35A56" w:rsidP="00EA348F">
      <w:pPr>
        <w:pStyle w:val="Prrafodelista"/>
        <w:numPr>
          <w:ilvl w:val="0"/>
          <w:numId w:val="45"/>
        </w:numPr>
      </w:pPr>
      <w:r>
        <w:t>V</w:t>
      </w:r>
      <w:r w:rsidR="0065313C">
        <w:t>ermelho: 17º a 25</w:t>
      </w:r>
      <w:r>
        <w:t>º lugar</w:t>
      </w:r>
    </w:p>
    <w:p w14:paraId="4C6EBEAD" w14:textId="217F3F4A" w:rsidR="00D35A56" w:rsidRPr="00272793" w:rsidRDefault="00D35A56" w:rsidP="00272793">
      <w:r w:rsidRPr="00EA348F">
        <w:t>Cabe notar que os indicadores escolhidos são relevantes para que se possa ter um cenário atualizado e compa</w:t>
      </w:r>
      <w:r w:rsidR="00A0511A" w:rsidRPr="00272793">
        <w:t>rativo de cada aspecto</w:t>
      </w:r>
      <w:r w:rsidR="00A0511A" w:rsidRPr="00ED1D45">
        <w:t xml:space="preserve"> em </w:t>
      </w:r>
      <w:r w:rsidR="00A0511A">
        <w:t>avaliação</w:t>
      </w:r>
      <w:r w:rsidR="00055876" w:rsidRPr="00EA348F">
        <w:t xml:space="preserve">. A </w:t>
      </w:r>
      <w:r w:rsidR="00055876" w:rsidRPr="00272793">
        <w:t>classificação</w:t>
      </w:r>
      <w:r w:rsidR="00055876" w:rsidRPr="00ED1D45">
        <w:t xml:space="preserve"> apresentada</w:t>
      </w:r>
      <w:r w:rsidRPr="00EA348F">
        <w:t xml:space="preserve"> não tem o intuito de promover competições ou comparações qualitativas entre as CESB e sim para possibilitar uma visão regionalizada e nacional dos índices.</w:t>
      </w:r>
    </w:p>
    <w:p w14:paraId="1460B612" w14:textId="0ECBB0A4" w:rsidR="00D35A56" w:rsidRDefault="00D35A56" w:rsidP="002870FB">
      <w:pPr>
        <w:rPr>
          <w:color w:val="FF0000"/>
          <w:highlight w:val="yellow"/>
          <w:lang w:val="pt-PT"/>
        </w:rPr>
      </w:pPr>
      <w:r>
        <w:t>A</w:t>
      </w:r>
      <w:r w:rsidRPr="00042F25">
        <w:t>ssim</w:t>
      </w:r>
      <w:r w:rsidR="00055876">
        <w:t>,</w:t>
      </w:r>
      <w:r w:rsidRPr="00042F25">
        <w:t xml:space="preserve"> cada </w:t>
      </w:r>
      <w:r>
        <w:t xml:space="preserve">Seção </w:t>
      </w:r>
      <w:r w:rsidRPr="00042F25">
        <w:t xml:space="preserve">deste </w:t>
      </w:r>
      <w:r>
        <w:t>R</w:t>
      </w:r>
      <w:r w:rsidRPr="00042F25">
        <w:t>elatório ir</w:t>
      </w:r>
      <w:r>
        <w:t>á</w:t>
      </w:r>
      <w:r w:rsidRPr="00042F25">
        <w:t xml:space="preserve"> tratar sobre uma categoria indicada e irá avaliar para cada companhia </w:t>
      </w:r>
      <w:r w:rsidR="001400F4">
        <w:t>a evolução dos indicadores n</w:t>
      </w:r>
      <w:r>
        <w:t xml:space="preserve">o </w:t>
      </w:r>
      <w:r w:rsidR="001400F4">
        <w:t>período de 2010 –</w:t>
      </w:r>
      <w:r w:rsidRPr="00042F25">
        <w:t xml:space="preserve"> 2015</w:t>
      </w:r>
      <w:r w:rsidR="001400F4">
        <w:t>.</w:t>
      </w:r>
    </w:p>
    <w:p w14:paraId="22E5BE82" w14:textId="77777777" w:rsidR="00F87C84" w:rsidRPr="00EA348F" w:rsidRDefault="00F87C84" w:rsidP="00EA348F"/>
    <w:p w14:paraId="722C790C" w14:textId="10F29CFC" w:rsidR="00C90E47" w:rsidRPr="00042F25" w:rsidRDefault="00C90E47" w:rsidP="00C90E47">
      <w:pPr>
        <w:pStyle w:val="Ttulo1"/>
      </w:pPr>
      <w:bookmarkStart w:id="5" w:name="_Toc493094918"/>
      <w:r w:rsidRPr="00042F25">
        <w:lastRenderedPageBreak/>
        <w:t>Descritivo Geral</w:t>
      </w:r>
      <w:bookmarkEnd w:id="5"/>
    </w:p>
    <w:p w14:paraId="2FF46144" w14:textId="49930D47" w:rsidR="00F4306B" w:rsidRPr="00042F25" w:rsidRDefault="00772A24" w:rsidP="00272793">
      <w:r w:rsidRPr="00042F25">
        <w:t>O objetivo desta Seção é mostrar</w:t>
      </w:r>
      <w:r w:rsidR="00266CC5" w:rsidRPr="00042F25">
        <w:t xml:space="preserve"> o</w:t>
      </w:r>
      <w:r w:rsidRPr="00042F25">
        <w:t xml:space="preserve"> descr</w:t>
      </w:r>
      <w:r w:rsidR="00042F25" w:rsidRPr="00042F25">
        <w:t>itivo geral das empresas. A subseç</w:t>
      </w:r>
      <w:r w:rsidRPr="00042F25">
        <w:t xml:space="preserve">ão 3.1 analisa </w:t>
      </w:r>
      <w:r w:rsidR="006B0736" w:rsidRPr="00042F25">
        <w:t>a</w:t>
      </w:r>
      <w:r w:rsidRPr="00042F25">
        <w:t xml:space="preserve"> </w:t>
      </w:r>
      <w:r w:rsidR="002C3930" w:rsidRPr="00042F25">
        <w:t>quantidad</w:t>
      </w:r>
      <w:r w:rsidR="006B0736" w:rsidRPr="00042F25">
        <w:t>e total de municípios atendidos</w:t>
      </w:r>
      <w:r w:rsidR="002C3930" w:rsidRPr="00042F25">
        <w:t xml:space="preserve"> pela empresa (GE005), com abastecimento de água (GE05a) e com esgotamento sanitário (GE05b)</w:t>
      </w:r>
      <w:r w:rsidR="00C14011" w:rsidRPr="00042F25">
        <w:t xml:space="preserve">, a </w:t>
      </w:r>
      <w:r w:rsidR="00042F25">
        <w:t>subseção</w:t>
      </w:r>
      <w:r w:rsidR="00C14011" w:rsidRPr="00042F25">
        <w:t xml:space="preserve"> 3</w:t>
      </w:r>
      <w:r w:rsidRPr="00042F25">
        <w:t xml:space="preserve">.2 </w:t>
      </w:r>
      <w:r w:rsidR="00D63705" w:rsidRPr="00042F25">
        <w:t xml:space="preserve">explora a tarifa média praticada </w:t>
      </w:r>
      <w:r w:rsidRPr="00042F25">
        <w:t>(IN0</w:t>
      </w:r>
      <w:r w:rsidR="00D63705" w:rsidRPr="00042F25">
        <w:t>04),</w:t>
      </w:r>
      <w:r w:rsidR="00C14011" w:rsidRPr="00042F25">
        <w:t xml:space="preserve"> a </w:t>
      </w:r>
      <w:r w:rsidR="00042F25">
        <w:t>subseção</w:t>
      </w:r>
      <w:r w:rsidR="00C14011" w:rsidRPr="00042F25">
        <w:t xml:space="preserve"> 3</w:t>
      </w:r>
      <w:r w:rsidRPr="00042F25">
        <w:t xml:space="preserve">.3 </w:t>
      </w:r>
      <w:r w:rsidR="003D4B6A" w:rsidRPr="00042F25">
        <w:t>examina</w:t>
      </w:r>
      <w:r w:rsidRPr="00042F25">
        <w:t xml:space="preserve"> os </w:t>
      </w:r>
      <w:r w:rsidR="00D63705" w:rsidRPr="00042F25">
        <w:t xml:space="preserve">consumos médios per capita de água (IN022) e de água por </w:t>
      </w:r>
      <w:r w:rsidR="00C14011" w:rsidRPr="00042F25">
        <w:t xml:space="preserve">economia (IN053) e a </w:t>
      </w:r>
      <w:r w:rsidR="00042F25">
        <w:t>subseção</w:t>
      </w:r>
      <w:r w:rsidR="00C14011" w:rsidRPr="00042F25">
        <w:t xml:space="preserve"> 3</w:t>
      </w:r>
      <w:r w:rsidR="00D63705" w:rsidRPr="00042F25">
        <w:t xml:space="preserve">.4 </w:t>
      </w:r>
      <w:r w:rsidR="003D4B6A" w:rsidRPr="00042F25">
        <w:t>averigua</w:t>
      </w:r>
      <w:r w:rsidR="00D63705" w:rsidRPr="00042F25">
        <w:t xml:space="preserve"> o volume de água </w:t>
      </w:r>
      <w:r w:rsidR="00042F25" w:rsidRPr="00042F25">
        <w:t>disponibilizado</w:t>
      </w:r>
      <w:r w:rsidR="00D63705" w:rsidRPr="00042F25">
        <w:t xml:space="preserve"> por economia (IN025</w:t>
      </w:r>
      <w:r w:rsidRPr="00042F25">
        <w:t>).</w:t>
      </w:r>
    </w:p>
    <w:p w14:paraId="4D443C61" w14:textId="11DE3A1A" w:rsidR="00F4306B" w:rsidRPr="00042F25" w:rsidRDefault="00F4306B" w:rsidP="009C3AA1">
      <w:pPr>
        <w:pStyle w:val="Ttulo2"/>
        <w:ind w:left="1427"/>
      </w:pPr>
      <w:bookmarkStart w:id="6" w:name="_Toc493094919"/>
      <w:r w:rsidRPr="00042F25">
        <w:t>Quantidade total de municípios atendidos</w:t>
      </w:r>
      <w:bookmarkEnd w:id="6"/>
    </w:p>
    <w:p w14:paraId="4DCD2470" w14:textId="51B204BD" w:rsidR="00F4306B" w:rsidRPr="00042F25" w:rsidRDefault="005A5E6C" w:rsidP="00F4306B">
      <w:r w:rsidRPr="00042F25">
        <w:t>A evolução de 2010 a 2015 da</w:t>
      </w:r>
      <w:r w:rsidR="006D3FB4" w:rsidRPr="00042F25">
        <w:t xml:space="preserve"> </w:t>
      </w:r>
      <w:r w:rsidR="00D10FED" w:rsidRPr="00042F25">
        <w:t xml:space="preserve">quantidade total </w:t>
      </w:r>
      <w:r w:rsidR="00BF3282" w:rsidRPr="00042F25">
        <w:t>d</w:t>
      </w:r>
      <w:r w:rsidR="003C524B" w:rsidRPr="00042F25">
        <w:t>e municípios em que o pres</w:t>
      </w:r>
      <w:r w:rsidR="00D10FED" w:rsidRPr="00042F25">
        <w:t>t</w:t>
      </w:r>
      <w:r w:rsidR="003C524B" w:rsidRPr="00042F25">
        <w:t>a</w:t>
      </w:r>
      <w:r w:rsidR="00D10FED" w:rsidRPr="00042F25">
        <w:t>dor de serviços atua</w:t>
      </w:r>
      <w:r w:rsidR="003C524B" w:rsidRPr="00042F25">
        <w:t xml:space="preserve"> na sede municipal com qualquer serviço de abastecimento de água ou esgotamento sanitário</w:t>
      </w:r>
      <w:r w:rsidR="00D10FED" w:rsidRPr="00042F25">
        <w:t xml:space="preserve"> (GE005)</w:t>
      </w:r>
      <w:r w:rsidR="009A6AA2" w:rsidRPr="00042F25">
        <w:t>, com serviço</w:t>
      </w:r>
      <w:r w:rsidR="003C524B" w:rsidRPr="00042F25">
        <w:t xml:space="preserve"> somente de abastecimento de água </w:t>
      </w:r>
      <w:r w:rsidR="00F4306B" w:rsidRPr="00042F25">
        <w:t>(</w:t>
      </w:r>
      <w:r w:rsidR="003C524B" w:rsidRPr="00042F25">
        <w:t>GE005a</w:t>
      </w:r>
      <w:r w:rsidR="00F4306B" w:rsidRPr="00042F25">
        <w:t>)</w:t>
      </w:r>
      <w:r w:rsidR="0019050C" w:rsidRPr="00042F25">
        <w:t xml:space="preserve"> e com serviço somente </w:t>
      </w:r>
      <w:r w:rsidR="003C524B" w:rsidRPr="00042F25">
        <w:t>de esgotamento sanitário</w:t>
      </w:r>
      <w:r w:rsidR="006D3FB4" w:rsidRPr="00042F25">
        <w:t xml:space="preserve"> será </w:t>
      </w:r>
      <w:r w:rsidR="001117BD" w:rsidRPr="00042F25">
        <w:t>apresentada</w:t>
      </w:r>
      <w:r w:rsidR="006D3FB4" w:rsidRPr="00042F25">
        <w:t xml:space="preserve"> a seguir</w:t>
      </w:r>
      <w:r w:rsidR="003C524B" w:rsidRPr="00042F25">
        <w:t>.</w:t>
      </w:r>
    </w:p>
    <w:p w14:paraId="408D8B1A" w14:textId="2F0B10EB" w:rsidR="00F4306B" w:rsidRPr="00042F25" w:rsidRDefault="006D3FB4" w:rsidP="00F4306B">
      <w:r w:rsidRPr="00042F25">
        <w:t>Est</w:t>
      </w:r>
      <w:r w:rsidR="00F61765" w:rsidRPr="00042F25">
        <w:t>es indicadores mostram</w:t>
      </w:r>
      <w:r w:rsidR="003571F0" w:rsidRPr="00042F25">
        <w:t xml:space="preserve"> </w:t>
      </w:r>
      <w:r w:rsidR="003571F0" w:rsidRPr="00EA348F">
        <w:t>a</w:t>
      </w:r>
      <w:r w:rsidR="00F61765" w:rsidRPr="00EA348F">
        <w:t xml:space="preserve"> </w:t>
      </w:r>
      <w:r w:rsidR="009648D7" w:rsidRPr="00EA348F">
        <w:t>COPASA</w:t>
      </w:r>
      <w:r w:rsidR="00F61765" w:rsidRPr="00EA348F">
        <w:t xml:space="preserve"> </w:t>
      </w:r>
      <w:r w:rsidR="00676191" w:rsidRPr="00EA348F">
        <w:t xml:space="preserve">com </w:t>
      </w:r>
      <w:r w:rsidR="00F61765" w:rsidRPr="00EA348F">
        <w:t>a maior quantidade de municípios</w:t>
      </w:r>
      <w:r w:rsidR="00A93A3C" w:rsidRPr="00EA348F">
        <w:t xml:space="preserve"> (576)</w:t>
      </w:r>
      <w:r w:rsidR="00F61765" w:rsidRPr="00EA348F">
        <w:t xml:space="preserve"> sendo atendidos </w:t>
      </w:r>
      <w:r w:rsidR="00D21F17">
        <w:t>com agua e SABESP</w:t>
      </w:r>
      <w:r w:rsidR="006C77DB">
        <w:t xml:space="preserve"> com a maior quantidade e municípios atendidos com esgoto (363), </w:t>
      </w:r>
      <w:r w:rsidR="00F61765" w:rsidRPr="00EA348F">
        <w:t>entre as companhias estaduais de saneamento do Brasil</w:t>
      </w:r>
      <w:r w:rsidR="006C77DB" w:rsidRPr="00EA348F">
        <w:t xml:space="preserve"> em 2015</w:t>
      </w:r>
      <w:r w:rsidR="00F61765" w:rsidRPr="00042F25">
        <w:t>.</w:t>
      </w:r>
    </w:p>
    <w:p w14:paraId="19D3CB1B" w14:textId="5C2ED15C" w:rsidR="00126253" w:rsidRDefault="00126253" w:rsidP="00126253">
      <w:pPr>
        <w:pStyle w:val="Descripcin"/>
      </w:pPr>
      <w:bookmarkStart w:id="7" w:name="_Toc493222466"/>
      <w:r w:rsidRPr="00042F25">
        <w:t xml:space="preserve">Quadro </w:t>
      </w:r>
      <w:fldSimple w:instr=" SEQ Quadro \* ARABIC ">
        <w:r w:rsidR="00B64D1C" w:rsidRPr="00042F25">
          <w:rPr>
            <w:noProof/>
          </w:rPr>
          <w:t>2</w:t>
        </w:r>
      </w:fldSimple>
      <w:r w:rsidRPr="00042F25">
        <w:t xml:space="preserve"> – Quantidade Total de Municípios Atendidos (GE005)</w:t>
      </w:r>
      <w:bookmarkEnd w:id="7"/>
    </w:p>
    <w:tbl>
      <w:tblPr>
        <w:tblStyle w:val="Tabladecuadrcula4-nfasis11"/>
        <w:tblW w:w="8494" w:type="dxa"/>
        <w:jc w:val="center"/>
        <w:tblLayout w:type="fixed"/>
        <w:tblLook w:val="04A0" w:firstRow="1" w:lastRow="0" w:firstColumn="1" w:lastColumn="0" w:noHBand="0" w:noVBand="1"/>
      </w:tblPr>
      <w:tblGrid>
        <w:gridCol w:w="1487"/>
        <w:gridCol w:w="1248"/>
        <w:gridCol w:w="1249"/>
        <w:gridCol w:w="1249"/>
        <w:gridCol w:w="1178"/>
        <w:gridCol w:w="1093"/>
        <w:gridCol w:w="990"/>
      </w:tblGrid>
      <w:tr w:rsidR="006C77DB" w:rsidRPr="006C77DB" w14:paraId="65D53265" w14:textId="77777777" w:rsidTr="006C77DB">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487" w:type="dxa"/>
          </w:tcPr>
          <w:p w14:paraId="46BDD369"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FFFFFF"/>
                <w:sz w:val="22"/>
                <w:lang w:eastAsia="en-US"/>
              </w:rPr>
            </w:pPr>
            <w:r w:rsidRPr="00EA348F">
              <w:rPr>
                <w:rFonts w:eastAsiaTheme="minorHAnsi"/>
                <w:color w:val="FFFFFF"/>
                <w:sz w:val="22"/>
                <w:lang w:eastAsia="en-US"/>
              </w:rPr>
              <w:t>Empresa</w:t>
            </w:r>
          </w:p>
        </w:tc>
        <w:tc>
          <w:tcPr>
            <w:tcW w:w="1248" w:type="dxa"/>
          </w:tcPr>
          <w:p w14:paraId="7B643C28"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2010</w:t>
            </w:r>
          </w:p>
        </w:tc>
        <w:tc>
          <w:tcPr>
            <w:tcW w:w="1249" w:type="dxa"/>
          </w:tcPr>
          <w:p w14:paraId="4F64C2A4"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2011</w:t>
            </w:r>
          </w:p>
        </w:tc>
        <w:tc>
          <w:tcPr>
            <w:tcW w:w="1249" w:type="dxa"/>
          </w:tcPr>
          <w:p w14:paraId="678BEE02"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2012</w:t>
            </w:r>
          </w:p>
        </w:tc>
        <w:tc>
          <w:tcPr>
            <w:tcW w:w="1178" w:type="dxa"/>
          </w:tcPr>
          <w:p w14:paraId="7E36BA29"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2013</w:t>
            </w:r>
          </w:p>
        </w:tc>
        <w:tc>
          <w:tcPr>
            <w:tcW w:w="1093" w:type="dxa"/>
          </w:tcPr>
          <w:p w14:paraId="1490A544"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2014</w:t>
            </w:r>
          </w:p>
        </w:tc>
        <w:tc>
          <w:tcPr>
            <w:tcW w:w="990" w:type="dxa"/>
          </w:tcPr>
          <w:p w14:paraId="0C20EA9D"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2015</w:t>
            </w:r>
          </w:p>
        </w:tc>
      </w:tr>
      <w:tr w:rsidR="006C77DB" w:rsidRPr="006C77DB" w14:paraId="71C7EBD8"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EFB30B9"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Agespisa</w:t>
            </w:r>
          </w:p>
        </w:tc>
        <w:tc>
          <w:tcPr>
            <w:tcW w:w="1248" w:type="dxa"/>
          </w:tcPr>
          <w:p w14:paraId="4588EF7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156</w:t>
            </w:r>
          </w:p>
        </w:tc>
        <w:tc>
          <w:tcPr>
            <w:tcW w:w="1249" w:type="dxa"/>
          </w:tcPr>
          <w:p w14:paraId="315876C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157</w:t>
            </w:r>
          </w:p>
        </w:tc>
        <w:tc>
          <w:tcPr>
            <w:tcW w:w="1249" w:type="dxa"/>
          </w:tcPr>
          <w:p w14:paraId="29D1D7D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157</w:t>
            </w:r>
          </w:p>
        </w:tc>
        <w:tc>
          <w:tcPr>
            <w:tcW w:w="1178" w:type="dxa"/>
          </w:tcPr>
          <w:p w14:paraId="7251E5E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156</w:t>
            </w:r>
          </w:p>
        </w:tc>
        <w:tc>
          <w:tcPr>
            <w:tcW w:w="1093" w:type="dxa"/>
          </w:tcPr>
          <w:p w14:paraId="4AEE0C30"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155</w:t>
            </w:r>
          </w:p>
        </w:tc>
        <w:tc>
          <w:tcPr>
            <w:tcW w:w="990" w:type="dxa"/>
          </w:tcPr>
          <w:p w14:paraId="295660A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155</w:t>
            </w:r>
          </w:p>
        </w:tc>
      </w:tr>
      <w:tr w:rsidR="006C77DB" w:rsidRPr="006C77DB" w14:paraId="067460A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DAFA83E"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Caema</w:t>
            </w:r>
          </w:p>
        </w:tc>
        <w:tc>
          <w:tcPr>
            <w:tcW w:w="1248" w:type="dxa"/>
          </w:tcPr>
          <w:p w14:paraId="76D62637"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w:t>
            </w:r>
          </w:p>
        </w:tc>
        <w:tc>
          <w:tcPr>
            <w:tcW w:w="1249" w:type="dxa"/>
          </w:tcPr>
          <w:p w14:paraId="1085081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w:t>
            </w:r>
          </w:p>
        </w:tc>
        <w:tc>
          <w:tcPr>
            <w:tcW w:w="1249" w:type="dxa"/>
          </w:tcPr>
          <w:p w14:paraId="5A931FD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w:t>
            </w:r>
          </w:p>
        </w:tc>
        <w:tc>
          <w:tcPr>
            <w:tcW w:w="1178" w:type="dxa"/>
          </w:tcPr>
          <w:p w14:paraId="593A10C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w:t>
            </w:r>
          </w:p>
        </w:tc>
        <w:tc>
          <w:tcPr>
            <w:tcW w:w="1093" w:type="dxa"/>
          </w:tcPr>
          <w:p w14:paraId="23A2F55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w:t>
            </w:r>
          </w:p>
        </w:tc>
        <w:tc>
          <w:tcPr>
            <w:tcW w:w="990" w:type="dxa"/>
          </w:tcPr>
          <w:p w14:paraId="3DABE4C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w:t>
            </w:r>
          </w:p>
        </w:tc>
      </w:tr>
      <w:tr w:rsidR="006C77DB" w:rsidRPr="006C77DB" w14:paraId="7AD506B7"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9AD2057"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w:t>
            </w:r>
          </w:p>
        </w:tc>
        <w:tc>
          <w:tcPr>
            <w:tcW w:w="1248" w:type="dxa"/>
          </w:tcPr>
          <w:p w14:paraId="41BE877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249" w:type="dxa"/>
          </w:tcPr>
          <w:p w14:paraId="4560B71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249" w:type="dxa"/>
          </w:tcPr>
          <w:p w14:paraId="2A5D417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178" w:type="dxa"/>
          </w:tcPr>
          <w:p w14:paraId="56A5C7C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093" w:type="dxa"/>
          </w:tcPr>
          <w:p w14:paraId="30EDEAB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990" w:type="dxa"/>
          </w:tcPr>
          <w:p w14:paraId="32517A7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r>
      <w:tr w:rsidR="006C77DB" w:rsidRPr="006C77DB" w14:paraId="64E0B712"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96F9D9B"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Caerd</w:t>
            </w:r>
          </w:p>
        </w:tc>
        <w:tc>
          <w:tcPr>
            <w:tcW w:w="1248" w:type="dxa"/>
          </w:tcPr>
          <w:p w14:paraId="29FE185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w:t>
            </w:r>
          </w:p>
        </w:tc>
        <w:tc>
          <w:tcPr>
            <w:tcW w:w="1249" w:type="dxa"/>
          </w:tcPr>
          <w:p w14:paraId="13F914C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41</w:t>
            </w:r>
          </w:p>
        </w:tc>
        <w:tc>
          <w:tcPr>
            <w:tcW w:w="1249" w:type="dxa"/>
          </w:tcPr>
          <w:p w14:paraId="559E04B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41</w:t>
            </w:r>
          </w:p>
        </w:tc>
        <w:tc>
          <w:tcPr>
            <w:tcW w:w="1178" w:type="dxa"/>
          </w:tcPr>
          <w:p w14:paraId="2A27705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41</w:t>
            </w:r>
          </w:p>
        </w:tc>
        <w:tc>
          <w:tcPr>
            <w:tcW w:w="1093" w:type="dxa"/>
          </w:tcPr>
          <w:p w14:paraId="460E8D1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w:t>
            </w:r>
          </w:p>
        </w:tc>
        <w:tc>
          <w:tcPr>
            <w:tcW w:w="990" w:type="dxa"/>
          </w:tcPr>
          <w:p w14:paraId="37481F2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w:t>
            </w:r>
          </w:p>
        </w:tc>
      </w:tr>
      <w:tr w:rsidR="006C77DB" w:rsidRPr="006C77DB" w14:paraId="3D2C730F"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BDC1072"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Caern</w:t>
            </w:r>
          </w:p>
        </w:tc>
        <w:tc>
          <w:tcPr>
            <w:tcW w:w="1248" w:type="dxa"/>
          </w:tcPr>
          <w:p w14:paraId="646FB64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249" w:type="dxa"/>
          </w:tcPr>
          <w:p w14:paraId="2CB001C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249" w:type="dxa"/>
          </w:tcPr>
          <w:p w14:paraId="7742110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178" w:type="dxa"/>
          </w:tcPr>
          <w:p w14:paraId="3C94278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093" w:type="dxa"/>
          </w:tcPr>
          <w:p w14:paraId="1ABDA57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990" w:type="dxa"/>
          </w:tcPr>
          <w:p w14:paraId="7882636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155</w:t>
            </w:r>
          </w:p>
        </w:tc>
      </w:tr>
      <w:tr w:rsidR="006C77DB" w:rsidRPr="006C77DB" w14:paraId="632125C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D46DE0A"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Caesa</w:t>
            </w:r>
          </w:p>
        </w:tc>
        <w:tc>
          <w:tcPr>
            <w:tcW w:w="1248" w:type="dxa"/>
          </w:tcPr>
          <w:p w14:paraId="52C10C6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249" w:type="dxa"/>
          </w:tcPr>
          <w:p w14:paraId="5306E04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249" w:type="dxa"/>
          </w:tcPr>
          <w:p w14:paraId="49D606F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178" w:type="dxa"/>
          </w:tcPr>
          <w:p w14:paraId="32D5F40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093" w:type="dxa"/>
          </w:tcPr>
          <w:p w14:paraId="55001A5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990" w:type="dxa"/>
          </w:tcPr>
          <w:p w14:paraId="7FFE8AD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r>
      <w:tr w:rsidR="006C77DB" w:rsidRPr="006C77DB" w14:paraId="406C51AD"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9B3552F"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Caesb</w:t>
            </w:r>
          </w:p>
        </w:tc>
        <w:tc>
          <w:tcPr>
            <w:tcW w:w="1248" w:type="dxa"/>
          </w:tcPr>
          <w:p w14:paraId="3FD7924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249" w:type="dxa"/>
          </w:tcPr>
          <w:p w14:paraId="4C13ECC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249" w:type="dxa"/>
          </w:tcPr>
          <w:p w14:paraId="336FB4E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178" w:type="dxa"/>
          </w:tcPr>
          <w:p w14:paraId="5F7D0D7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093" w:type="dxa"/>
          </w:tcPr>
          <w:p w14:paraId="5B7A637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990" w:type="dxa"/>
          </w:tcPr>
          <w:p w14:paraId="0147F41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r>
      <w:tr w:rsidR="006C77DB" w:rsidRPr="006C77DB" w14:paraId="24243D9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6863796"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Cagece</w:t>
            </w:r>
          </w:p>
        </w:tc>
        <w:tc>
          <w:tcPr>
            <w:tcW w:w="1248" w:type="dxa"/>
          </w:tcPr>
          <w:p w14:paraId="360F3D5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149</w:t>
            </w:r>
          </w:p>
        </w:tc>
        <w:tc>
          <w:tcPr>
            <w:tcW w:w="1249" w:type="dxa"/>
          </w:tcPr>
          <w:p w14:paraId="01B1609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150</w:t>
            </w:r>
          </w:p>
        </w:tc>
        <w:tc>
          <w:tcPr>
            <w:tcW w:w="1249" w:type="dxa"/>
          </w:tcPr>
          <w:p w14:paraId="0CD351D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150</w:t>
            </w:r>
          </w:p>
        </w:tc>
        <w:tc>
          <w:tcPr>
            <w:tcW w:w="1178" w:type="dxa"/>
          </w:tcPr>
          <w:p w14:paraId="21F7FF9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150</w:t>
            </w:r>
          </w:p>
        </w:tc>
        <w:tc>
          <w:tcPr>
            <w:tcW w:w="1093" w:type="dxa"/>
          </w:tcPr>
          <w:p w14:paraId="42157487"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151</w:t>
            </w:r>
          </w:p>
        </w:tc>
        <w:tc>
          <w:tcPr>
            <w:tcW w:w="990" w:type="dxa"/>
          </w:tcPr>
          <w:p w14:paraId="4C24357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151</w:t>
            </w:r>
          </w:p>
        </w:tc>
      </w:tr>
      <w:tr w:rsidR="006C77DB" w:rsidRPr="006C77DB" w14:paraId="1F0B0080"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D5CCE5C"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Cagepa</w:t>
            </w:r>
          </w:p>
        </w:tc>
        <w:tc>
          <w:tcPr>
            <w:tcW w:w="1248" w:type="dxa"/>
          </w:tcPr>
          <w:p w14:paraId="0C6571D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w:t>
            </w:r>
          </w:p>
        </w:tc>
        <w:tc>
          <w:tcPr>
            <w:tcW w:w="1249" w:type="dxa"/>
          </w:tcPr>
          <w:p w14:paraId="2ACD3DD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184</w:t>
            </w:r>
          </w:p>
        </w:tc>
        <w:tc>
          <w:tcPr>
            <w:tcW w:w="1249" w:type="dxa"/>
          </w:tcPr>
          <w:p w14:paraId="1EC9464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190</w:t>
            </w:r>
          </w:p>
        </w:tc>
        <w:tc>
          <w:tcPr>
            <w:tcW w:w="1178" w:type="dxa"/>
          </w:tcPr>
          <w:p w14:paraId="2A9AEDD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196</w:t>
            </w:r>
          </w:p>
        </w:tc>
        <w:tc>
          <w:tcPr>
            <w:tcW w:w="1093" w:type="dxa"/>
          </w:tcPr>
          <w:p w14:paraId="14A2F9D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194</w:t>
            </w:r>
          </w:p>
        </w:tc>
        <w:tc>
          <w:tcPr>
            <w:tcW w:w="990" w:type="dxa"/>
          </w:tcPr>
          <w:p w14:paraId="4B588C4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172</w:t>
            </w:r>
          </w:p>
        </w:tc>
      </w:tr>
      <w:tr w:rsidR="006C77DB" w:rsidRPr="006C77DB" w14:paraId="68CA124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41EED85"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Casal</w:t>
            </w:r>
          </w:p>
        </w:tc>
        <w:tc>
          <w:tcPr>
            <w:tcW w:w="1248" w:type="dxa"/>
          </w:tcPr>
          <w:p w14:paraId="318AB194"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249" w:type="dxa"/>
          </w:tcPr>
          <w:p w14:paraId="30CB3F54"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249" w:type="dxa"/>
          </w:tcPr>
          <w:p w14:paraId="004934B7"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178" w:type="dxa"/>
          </w:tcPr>
          <w:p w14:paraId="1377F0A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093" w:type="dxa"/>
          </w:tcPr>
          <w:p w14:paraId="7B57010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990" w:type="dxa"/>
          </w:tcPr>
          <w:p w14:paraId="53CFDFD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r>
      <w:tr w:rsidR="006C77DB" w:rsidRPr="006C77DB" w14:paraId="40E95276"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B2C9805"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Casan</w:t>
            </w:r>
          </w:p>
        </w:tc>
        <w:tc>
          <w:tcPr>
            <w:tcW w:w="1248" w:type="dxa"/>
          </w:tcPr>
          <w:p w14:paraId="68D0CA4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201</w:t>
            </w:r>
          </w:p>
        </w:tc>
        <w:tc>
          <w:tcPr>
            <w:tcW w:w="1249" w:type="dxa"/>
          </w:tcPr>
          <w:p w14:paraId="2CEE386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202</w:t>
            </w:r>
          </w:p>
        </w:tc>
        <w:tc>
          <w:tcPr>
            <w:tcW w:w="1249" w:type="dxa"/>
          </w:tcPr>
          <w:p w14:paraId="49F5A87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201</w:t>
            </w:r>
          </w:p>
        </w:tc>
        <w:tc>
          <w:tcPr>
            <w:tcW w:w="1178" w:type="dxa"/>
          </w:tcPr>
          <w:p w14:paraId="704DE00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198</w:t>
            </w:r>
          </w:p>
        </w:tc>
        <w:tc>
          <w:tcPr>
            <w:tcW w:w="1093" w:type="dxa"/>
          </w:tcPr>
          <w:p w14:paraId="76979EB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199</w:t>
            </w:r>
          </w:p>
        </w:tc>
        <w:tc>
          <w:tcPr>
            <w:tcW w:w="990" w:type="dxa"/>
          </w:tcPr>
          <w:p w14:paraId="31AFD0C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199</w:t>
            </w:r>
          </w:p>
        </w:tc>
      </w:tr>
      <w:tr w:rsidR="006C77DB" w:rsidRPr="006C77DB" w14:paraId="6D6BC58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20D4F7C"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Cedae</w:t>
            </w:r>
          </w:p>
        </w:tc>
        <w:tc>
          <w:tcPr>
            <w:tcW w:w="1248" w:type="dxa"/>
          </w:tcPr>
          <w:p w14:paraId="63AF20F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61</w:t>
            </w:r>
          </w:p>
        </w:tc>
        <w:tc>
          <w:tcPr>
            <w:tcW w:w="1249" w:type="dxa"/>
          </w:tcPr>
          <w:p w14:paraId="509154B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1249" w:type="dxa"/>
          </w:tcPr>
          <w:p w14:paraId="726AC86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1178" w:type="dxa"/>
          </w:tcPr>
          <w:p w14:paraId="05977A9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1093" w:type="dxa"/>
          </w:tcPr>
          <w:p w14:paraId="1F47359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990" w:type="dxa"/>
          </w:tcPr>
          <w:p w14:paraId="09DFE54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r>
      <w:tr w:rsidR="006C77DB" w:rsidRPr="006C77DB" w14:paraId="0D78F672"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A86E6F3"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Cesan</w:t>
            </w:r>
          </w:p>
        </w:tc>
        <w:tc>
          <w:tcPr>
            <w:tcW w:w="1248" w:type="dxa"/>
          </w:tcPr>
          <w:p w14:paraId="0456D69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249" w:type="dxa"/>
          </w:tcPr>
          <w:p w14:paraId="127412D0"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249" w:type="dxa"/>
          </w:tcPr>
          <w:p w14:paraId="0A027DD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178" w:type="dxa"/>
          </w:tcPr>
          <w:p w14:paraId="1CA3925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093" w:type="dxa"/>
          </w:tcPr>
          <w:p w14:paraId="4A32655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990" w:type="dxa"/>
          </w:tcPr>
          <w:p w14:paraId="0A66312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r>
      <w:tr w:rsidR="006C77DB" w:rsidRPr="006C77DB" w14:paraId="60C9DB37"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4933340"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lastRenderedPageBreak/>
              <w:t>Compesa</w:t>
            </w:r>
          </w:p>
        </w:tc>
        <w:tc>
          <w:tcPr>
            <w:tcW w:w="1248" w:type="dxa"/>
          </w:tcPr>
          <w:p w14:paraId="4E22152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249" w:type="dxa"/>
          </w:tcPr>
          <w:p w14:paraId="0C92A9E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249" w:type="dxa"/>
          </w:tcPr>
          <w:p w14:paraId="718DAF6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178" w:type="dxa"/>
          </w:tcPr>
          <w:p w14:paraId="638E049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093" w:type="dxa"/>
          </w:tcPr>
          <w:p w14:paraId="5A53D5E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990" w:type="dxa"/>
          </w:tcPr>
          <w:p w14:paraId="5D42A53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r>
      <w:tr w:rsidR="006C77DB" w:rsidRPr="006C77DB" w14:paraId="08AFB0F1"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AEBC6D1"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Copasa</w:t>
            </w:r>
          </w:p>
        </w:tc>
        <w:tc>
          <w:tcPr>
            <w:tcW w:w="1248" w:type="dxa"/>
          </w:tcPr>
          <w:p w14:paraId="023700B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578</w:t>
            </w:r>
          </w:p>
        </w:tc>
        <w:tc>
          <w:tcPr>
            <w:tcW w:w="1249" w:type="dxa"/>
          </w:tcPr>
          <w:p w14:paraId="1324311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571</w:t>
            </w:r>
          </w:p>
        </w:tc>
        <w:tc>
          <w:tcPr>
            <w:tcW w:w="1249" w:type="dxa"/>
          </w:tcPr>
          <w:p w14:paraId="6E7B544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571</w:t>
            </w:r>
          </w:p>
        </w:tc>
        <w:tc>
          <w:tcPr>
            <w:tcW w:w="1178" w:type="dxa"/>
          </w:tcPr>
          <w:p w14:paraId="0C5D4FB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568</w:t>
            </w:r>
          </w:p>
        </w:tc>
        <w:tc>
          <w:tcPr>
            <w:tcW w:w="1093" w:type="dxa"/>
          </w:tcPr>
          <w:p w14:paraId="72C7AED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572</w:t>
            </w:r>
          </w:p>
        </w:tc>
        <w:tc>
          <w:tcPr>
            <w:tcW w:w="990" w:type="dxa"/>
          </w:tcPr>
          <w:p w14:paraId="718B510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576</w:t>
            </w:r>
          </w:p>
        </w:tc>
      </w:tr>
      <w:tr w:rsidR="006C77DB" w:rsidRPr="006C77DB" w14:paraId="7EB17849"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723C0BA"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Corsan</w:t>
            </w:r>
          </w:p>
        </w:tc>
        <w:tc>
          <w:tcPr>
            <w:tcW w:w="1248" w:type="dxa"/>
          </w:tcPr>
          <w:p w14:paraId="11A57BB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314</w:t>
            </w:r>
          </w:p>
        </w:tc>
        <w:tc>
          <w:tcPr>
            <w:tcW w:w="1249" w:type="dxa"/>
          </w:tcPr>
          <w:p w14:paraId="14889EC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314</w:t>
            </w:r>
          </w:p>
        </w:tc>
        <w:tc>
          <w:tcPr>
            <w:tcW w:w="1249" w:type="dxa"/>
          </w:tcPr>
          <w:p w14:paraId="584137E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311</w:t>
            </w:r>
          </w:p>
        </w:tc>
        <w:tc>
          <w:tcPr>
            <w:tcW w:w="1178" w:type="dxa"/>
          </w:tcPr>
          <w:p w14:paraId="590B58E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311</w:t>
            </w:r>
          </w:p>
        </w:tc>
        <w:tc>
          <w:tcPr>
            <w:tcW w:w="1093" w:type="dxa"/>
          </w:tcPr>
          <w:p w14:paraId="235FC0D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314</w:t>
            </w:r>
          </w:p>
        </w:tc>
        <w:tc>
          <w:tcPr>
            <w:tcW w:w="990" w:type="dxa"/>
          </w:tcPr>
          <w:p w14:paraId="2B76915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315</w:t>
            </w:r>
          </w:p>
        </w:tc>
      </w:tr>
      <w:tr w:rsidR="006C77DB" w:rsidRPr="006C77DB" w14:paraId="28CDCADD"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9607AA2"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Cosanpa</w:t>
            </w:r>
          </w:p>
        </w:tc>
        <w:tc>
          <w:tcPr>
            <w:tcW w:w="1248" w:type="dxa"/>
          </w:tcPr>
          <w:p w14:paraId="054D8B45"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58</w:t>
            </w:r>
          </w:p>
        </w:tc>
        <w:tc>
          <w:tcPr>
            <w:tcW w:w="1249" w:type="dxa"/>
          </w:tcPr>
          <w:p w14:paraId="0AE497A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58</w:t>
            </w:r>
          </w:p>
        </w:tc>
        <w:tc>
          <w:tcPr>
            <w:tcW w:w="1249" w:type="dxa"/>
          </w:tcPr>
          <w:p w14:paraId="7E99D2D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w:t>
            </w:r>
          </w:p>
        </w:tc>
        <w:tc>
          <w:tcPr>
            <w:tcW w:w="1178" w:type="dxa"/>
          </w:tcPr>
          <w:p w14:paraId="6E3AED7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w:t>
            </w:r>
          </w:p>
        </w:tc>
        <w:tc>
          <w:tcPr>
            <w:tcW w:w="1093" w:type="dxa"/>
          </w:tcPr>
          <w:p w14:paraId="65B4698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w:t>
            </w:r>
          </w:p>
        </w:tc>
        <w:tc>
          <w:tcPr>
            <w:tcW w:w="990" w:type="dxa"/>
          </w:tcPr>
          <w:p w14:paraId="55408F7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w:t>
            </w:r>
          </w:p>
        </w:tc>
      </w:tr>
      <w:tr w:rsidR="006C77DB" w:rsidRPr="006C77DB" w14:paraId="55D72454"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9EC3DF3"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Depasa</w:t>
            </w:r>
          </w:p>
        </w:tc>
        <w:tc>
          <w:tcPr>
            <w:tcW w:w="1248" w:type="dxa"/>
          </w:tcPr>
          <w:p w14:paraId="77117FE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w:t>
            </w:r>
          </w:p>
        </w:tc>
        <w:tc>
          <w:tcPr>
            <w:tcW w:w="1249" w:type="dxa"/>
          </w:tcPr>
          <w:p w14:paraId="7565694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w:t>
            </w:r>
          </w:p>
        </w:tc>
        <w:tc>
          <w:tcPr>
            <w:tcW w:w="1249" w:type="dxa"/>
          </w:tcPr>
          <w:p w14:paraId="4E83F1C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c>
          <w:tcPr>
            <w:tcW w:w="1178" w:type="dxa"/>
          </w:tcPr>
          <w:p w14:paraId="36E023C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c>
          <w:tcPr>
            <w:tcW w:w="1093" w:type="dxa"/>
          </w:tcPr>
          <w:p w14:paraId="4FCA89F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c>
          <w:tcPr>
            <w:tcW w:w="990" w:type="dxa"/>
          </w:tcPr>
          <w:p w14:paraId="281C042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r>
      <w:tr w:rsidR="006C77DB" w:rsidRPr="006C77DB" w14:paraId="77CB58F2"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9998927"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Deso</w:t>
            </w:r>
          </w:p>
        </w:tc>
        <w:tc>
          <w:tcPr>
            <w:tcW w:w="1248" w:type="dxa"/>
          </w:tcPr>
          <w:p w14:paraId="522F607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249" w:type="dxa"/>
          </w:tcPr>
          <w:p w14:paraId="7E94205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249" w:type="dxa"/>
          </w:tcPr>
          <w:p w14:paraId="13A8F65C"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178" w:type="dxa"/>
          </w:tcPr>
          <w:p w14:paraId="53FFD19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093" w:type="dxa"/>
          </w:tcPr>
          <w:p w14:paraId="18190B4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990" w:type="dxa"/>
          </w:tcPr>
          <w:p w14:paraId="13D1EF05"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r>
      <w:tr w:rsidR="006C77DB" w:rsidRPr="006C77DB" w14:paraId="7AB48567"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F203CB7"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Embasa</w:t>
            </w:r>
          </w:p>
        </w:tc>
        <w:tc>
          <w:tcPr>
            <w:tcW w:w="1248" w:type="dxa"/>
          </w:tcPr>
          <w:p w14:paraId="22C61B9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360</w:t>
            </w:r>
          </w:p>
        </w:tc>
        <w:tc>
          <w:tcPr>
            <w:tcW w:w="1249" w:type="dxa"/>
          </w:tcPr>
          <w:p w14:paraId="251E156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361</w:t>
            </w:r>
          </w:p>
        </w:tc>
        <w:tc>
          <w:tcPr>
            <w:tcW w:w="1249" w:type="dxa"/>
          </w:tcPr>
          <w:p w14:paraId="0E28C3B4"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362</w:t>
            </w:r>
          </w:p>
        </w:tc>
        <w:tc>
          <w:tcPr>
            <w:tcW w:w="1178" w:type="dxa"/>
          </w:tcPr>
          <w:p w14:paraId="4CE8805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1093" w:type="dxa"/>
          </w:tcPr>
          <w:p w14:paraId="0E909367"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990" w:type="dxa"/>
          </w:tcPr>
          <w:p w14:paraId="5B738B5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366</w:t>
            </w:r>
          </w:p>
        </w:tc>
      </w:tr>
      <w:tr w:rsidR="006C77DB" w:rsidRPr="006C77DB" w14:paraId="3D4EB1D6"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A6EBE98"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Sabesp</w:t>
            </w:r>
          </w:p>
        </w:tc>
        <w:tc>
          <w:tcPr>
            <w:tcW w:w="1248" w:type="dxa"/>
          </w:tcPr>
          <w:p w14:paraId="0592C8E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363</w:t>
            </w:r>
          </w:p>
        </w:tc>
        <w:tc>
          <w:tcPr>
            <w:tcW w:w="1249" w:type="dxa"/>
          </w:tcPr>
          <w:p w14:paraId="6B3301B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1249" w:type="dxa"/>
          </w:tcPr>
          <w:p w14:paraId="1ED6A11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363</w:t>
            </w:r>
          </w:p>
        </w:tc>
        <w:tc>
          <w:tcPr>
            <w:tcW w:w="1178" w:type="dxa"/>
          </w:tcPr>
          <w:p w14:paraId="2AEF3C9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363</w:t>
            </w:r>
          </w:p>
        </w:tc>
        <w:tc>
          <w:tcPr>
            <w:tcW w:w="1093" w:type="dxa"/>
          </w:tcPr>
          <w:p w14:paraId="36F40DA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990" w:type="dxa"/>
          </w:tcPr>
          <w:p w14:paraId="4BBD6EC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r>
      <w:tr w:rsidR="006C77DB" w:rsidRPr="006C77DB" w14:paraId="7C9F616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F0942C6"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Saneago</w:t>
            </w:r>
          </w:p>
        </w:tc>
        <w:tc>
          <w:tcPr>
            <w:tcW w:w="1248" w:type="dxa"/>
          </w:tcPr>
          <w:p w14:paraId="71536C3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223</w:t>
            </w:r>
          </w:p>
        </w:tc>
        <w:tc>
          <w:tcPr>
            <w:tcW w:w="1249" w:type="dxa"/>
          </w:tcPr>
          <w:p w14:paraId="286B3BF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223</w:t>
            </w:r>
          </w:p>
        </w:tc>
        <w:tc>
          <w:tcPr>
            <w:tcW w:w="1249" w:type="dxa"/>
          </w:tcPr>
          <w:p w14:paraId="34E95A2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224</w:t>
            </w:r>
          </w:p>
        </w:tc>
        <w:tc>
          <w:tcPr>
            <w:tcW w:w="1178" w:type="dxa"/>
          </w:tcPr>
          <w:p w14:paraId="7734BD6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w:t>
            </w:r>
          </w:p>
        </w:tc>
        <w:tc>
          <w:tcPr>
            <w:tcW w:w="1093" w:type="dxa"/>
          </w:tcPr>
          <w:p w14:paraId="3D52B81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w:t>
            </w:r>
          </w:p>
        </w:tc>
        <w:tc>
          <w:tcPr>
            <w:tcW w:w="990" w:type="dxa"/>
          </w:tcPr>
          <w:p w14:paraId="296E041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w:t>
            </w:r>
          </w:p>
        </w:tc>
      </w:tr>
      <w:tr w:rsidR="006C77DB" w:rsidRPr="006C77DB" w14:paraId="10180DC6"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968D370"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Saneatins</w:t>
            </w:r>
          </w:p>
        </w:tc>
        <w:tc>
          <w:tcPr>
            <w:tcW w:w="1248" w:type="dxa"/>
          </w:tcPr>
          <w:p w14:paraId="15841E85"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w:t>
            </w:r>
          </w:p>
        </w:tc>
        <w:tc>
          <w:tcPr>
            <w:tcW w:w="1249" w:type="dxa"/>
          </w:tcPr>
          <w:p w14:paraId="08939BF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w:t>
            </w:r>
          </w:p>
        </w:tc>
        <w:tc>
          <w:tcPr>
            <w:tcW w:w="1249" w:type="dxa"/>
          </w:tcPr>
          <w:p w14:paraId="21D285A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w:t>
            </w:r>
          </w:p>
        </w:tc>
        <w:tc>
          <w:tcPr>
            <w:tcW w:w="1178" w:type="dxa"/>
          </w:tcPr>
          <w:p w14:paraId="245D4ED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093" w:type="dxa"/>
          </w:tcPr>
          <w:p w14:paraId="2AA6C11C"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990" w:type="dxa"/>
          </w:tcPr>
          <w:p w14:paraId="5A4B26B0"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r>
      <w:tr w:rsidR="006C77DB" w:rsidRPr="006C77DB" w14:paraId="3DEE6067"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5D5249F"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Sanepar</w:t>
            </w:r>
          </w:p>
        </w:tc>
        <w:tc>
          <w:tcPr>
            <w:tcW w:w="1248" w:type="dxa"/>
          </w:tcPr>
          <w:p w14:paraId="5CEAAA5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344</w:t>
            </w:r>
          </w:p>
        </w:tc>
        <w:tc>
          <w:tcPr>
            <w:tcW w:w="1249" w:type="dxa"/>
          </w:tcPr>
          <w:p w14:paraId="3196EAB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344</w:t>
            </w:r>
          </w:p>
        </w:tc>
        <w:tc>
          <w:tcPr>
            <w:tcW w:w="1249" w:type="dxa"/>
          </w:tcPr>
          <w:p w14:paraId="05B706B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c>
          <w:tcPr>
            <w:tcW w:w="1178" w:type="dxa"/>
          </w:tcPr>
          <w:p w14:paraId="598834C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c>
          <w:tcPr>
            <w:tcW w:w="1093" w:type="dxa"/>
          </w:tcPr>
          <w:p w14:paraId="595C870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c>
          <w:tcPr>
            <w:tcW w:w="990" w:type="dxa"/>
          </w:tcPr>
          <w:p w14:paraId="4DB54394"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r>
      <w:tr w:rsidR="006C77DB" w:rsidRPr="006C77DB" w14:paraId="3AC5D9F6"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CF52EE0"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Sanesul</w:t>
            </w:r>
          </w:p>
        </w:tc>
        <w:tc>
          <w:tcPr>
            <w:tcW w:w="1248" w:type="dxa"/>
          </w:tcPr>
          <w:p w14:paraId="651430F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249" w:type="dxa"/>
          </w:tcPr>
          <w:p w14:paraId="52A6B19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249" w:type="dxa"/>
          </w:tcPr>
          <w:p w14:paraId="5FF6F8F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178" w:type="dxa"/>
          </w:tcPr>
          <w:p w14:paraId="20BA0E2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093" w:type="dxa"/>
          </w:tcPr>
          <w:p w14:paraId="1CBD894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990" w:type="dxa"/>
          </w:tcPr>
          <w:p w14:paraId="2E48D2A5"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r>
    </w:tbl>
    <w:p w14:paraId="44E366C5" w14:textId="297132F6" w:rsidR="006C77DB" w:rsidRPr="00EA348F" w:rsidRDefault="00126253">
      <w:pPr>
        <w:pStyle w:val="Descripcin"/>
        <w:spacing w:before="0" w:beforeAutospacing="0"/>
        <w:jc w:val="left"/>
      </w:pPr>
      <w:r w:rsidRPr="00042F25">
        <w:rPr>
          <w:sz w:val="20"/>
        </w:rPr>
        <w:t>Fonte: SNIS 2015. El</w:t>
      </w:r>
      <w:r w:rsidR="003A3720" w:rsidRPr="00042F25">
        <w:rPr>
          <w:sz w:val="20"/>
        </w:rPr>
        <w:t>aborado por: GO Associados</w:t>
      </w:r>
    </w:p>
    <w:p w14:paraId="07300E20" w14:textId="6ECCED9E" w:rsidR="00126253" w:rsidRDefault="00126253" w:rsidP="00126253">
      <w:pPr>
        <w:pStyle w:val="Descripcin"/>
      </w:pPr>
      <w:bookmarkStart w:id="8" w:name="_Toc493222467"/>
      <w:r w:rsidRPr="00042F25">
        <w:t xml:space="preserve">Quadro </w:t>
      </w:r>
      <w:fldSimple w:instr=" SEQ Quadro \* ARABIC ">
        <w:r w:rsidR="00B64D1C" w:rsidRPr="00042F25">
          <w:rPr>
            <w:noProof/>
          </w:rPr>
          <w:t>3</w:t>
        </w:r>
      </w:fldSimple>
      <w:r w:rsidRPr="00042F25">
        <w:t xml:space="preserve"> – Quantidade Total de Municípios Atendidos com Abastecimento de Água (GE005a)</w:t>
      </w:r>
      <w:bookmarkEnd w:id="8"/>
    </w:p>
    <w:tbl>
      <w:tblPr>
        <w:tblStyle w:val="Tabladecuadrcula4-nfasis11"/>
        <w:tblW w:w="8494" w:type="dxa"/>
        <w:jc w:val="center"/>
        <w:tblLayout w:type="fixed"/>
        <w:tblLook w:val="04A0" w:firstRow="1" w:lastRow="0" w:firstColumn="1" w:lastColumn="0" w:noHBand="0" w:noVBand="1"/>
      </w:tblPr>
      <w:tblGrid>
        <w:gridCol w:w="1487"/>
        <w:gridCol w:w="1248"/>
        <w:gridCol w:w="1249"/>
        <w:gridCol w:w="1249"/>
        <w:gridCol w:w="1178"/>
        <w:gridCol w:w="1093"/>
        <w:gridCol w:w="990"/>
      </w:tblGrid>
      <w:tr w:rsidR="006C77DB" w:rsidRPr="006C77DB" w14:paraId="76CE1EF6" w14:textId="77777777" w:rsidTr="006C77DB">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487" w:type="dxa"/>
          </w:tcPr>
          <w:p w14:paraId="55834BB1"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FFFFFF"/>
                <w:sz w:val="22"/>
                <w:lang w:eastAsia="en-US"/>
              </w:rPr>
            </w:pPr>
            <w:r w:rsidRPr="00EA348F">
              <w:rPr>
                <w:rFonts w:eastAsiaTheme="minorHAnsi"/>
                <w:color w:val="FFFFFF"/>
                <w:sz w:val="22"/>
                <w:lang w:eastAsia="en-US"/>
              </w:rPr>
              <w:t>Empresa</w:t>
            </w:r>
          </w:p>
        </w:tc>
        <w:tc>
          <w:tcPr>
            <w:tcW w:w="1248" w:type="dxa"/>
          </w:tcPr>
          <w:p w14:paraId="28FBA510"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2010</w:t>
            </w:r>
          </w:p>
        </w:tc>
        <w:tc>
          <w:tcPr>
            <w:tcW w:w="1249" w:type="dxa"/>
          </w:tcPr>
          <w:p w14:paraId="58F80F88"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2011</w:t>
            </w:r>
          </w:p>
        </w:tc>
        <w:tc>
          <w:tcPr>
            <w:tcW w:w="1249" w:type="dxa"/>
          </w:tcPr>
          <w:p w14:paraId="3F78C181"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2012</w:t>
            </w:r>
          </w:p>
        </w:tc>
        <w:tc>
          <w:tcPr>
            <w:tcW w:w="1178" w:type="dxa"/>
          </w:tcPr>
          <w:p w14:paraId="16A43753"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2013</w:t>
            </w:r>
          </w:p>
        </w:tc>
        <w:tc>
          <w:tcPr>
            <w:tcW w:w="1093" w:type="dxa"/>
          </w:tcPr>
          <w:p w14:paraId="34EB2D3D"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2014</w:t>
            </w:r>
          </w:p>
        </w:tc>
        <w:tc>
          <w:tcPr>
            <w:tcW w:w="990" w:type="dxa"/>
          </w:tcPr>
          <w:p w14:paraId="3D335EF1" w14:textId="77777777" w:rsidR="006C77DB" w:rsidRPr="00EA348F" w:rsidRDefault="006C77D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2015</w:t>
            </w:r>
          </w:p>
        </w:tc>
      </w:tr>
      <w:tr w:rsidR="006C77DB" w:rsidRPr="006C77DB" w14:paraId="5CEF3A39"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C86B448"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Agespisa</w:t>
            </w:r>
          </w:p>
        </w:tc>
        <w:tc>
          <w:tcPr>
            <w:tcW w:w="1248" w:type="dxa"/>
          </w:tcPr>
          <w:p w14:paraId="36BF242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156</w:t>
            </w:r>
          </w:p>
        </w:tc>
        <w:tc>
          <w:tcPr>
            <w:tcW w:w="1249" w:type="dxa"/>
          </w:tcPr>
          <w:p w14:paraId="5DDB62A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157</w:t>
            </w:r>
          </w:p>
        </w:tc>
        <w:tc>
          <w:tcPr>
            <w:tcW w:w="1249" w:type="dxa"/>
          </w:tcPr>
          <w:p w14:paraId="44659DF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157</w:t>
            </w:r>
          </w:p>
        </w:tc>
        <w:tc>
          <w:tcPr>
            <w:tcW w:w="1178" w:type="dxa"/>
          </w:tcPr>
          <w:p w14:paraId="096A67D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156</w:t>
            </w:r>
          </w:p>
        </w:tc>
        <w:tc>
          <w:tcPr>
            <w:tcW w:w="1093" w:type="dxa"/>
          </w:tcPr>
          <w:p w14:paraId="521DC19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155</w:t>
            </w:r>
          </w:p>
        </w:tc>
        <w:tc>
          <w:tcPr>
            <w:tcW w:w="990" w:type="dxa"/>
          </w:tcPr>
          <w:p w14:paraId="5A99E4E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155</w:t>
            </w:r>
          </w:p>
        </w:tc>
      </w:tr>
      <w:tr w:rsidR="006C77DB" w:rsidRPr="006C77DB" w14:paraId="653EBB7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0998169"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Caema</w:t>
            </w:r>
          </w:p>
        </w:tc>
        <w:tc>
          <w:tcPr>
            <w:tcW w:w="1248" w:type="dxa"/>
          </w:tcPr>
          <w:p w14:paraId="7C0677C7"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w:t>
            </w:r>
          </w:p>
        </w:tc>
        <w:tc>
          <w:tcPr>
            <w:tcW w:w="1249" w:type="dxa"/>
          </w:tcPr>
          <w:p w14:paraId="1F2DF6F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w:t>
            </w:r>
          </w:p>
        </w:tc>
        <w:tc>
          <w:tcPr>
            <w:tcW w:w="1249" w:type="dxa"/>
          </w:tcPr>
          <w:p w14:paraId="416759E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w:t>
            </w:r>
          </w:p>
        </w:tc>
        <w:tc>
          <w:tcPr>
            <w:tcW w:w="1178" w:type="dxa"/>
          </w:tcPr>
          <w:p w14:paraId="34F0273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w:t>
            </w:r>
          </w:p>
        </w:tc>
        <w:tc>
          <w:tcPr>
            <w:tcW w:w="1093" w:type="dxa"/>
          </w:tcPr>
          <w:p w14:paraId="7C1E3DD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w:t>
            </w:r>
          </w:p>
        </w:tc>
        <w:tc>
          <w:tcPr>
            <w:tcW w:w="990" w:type="dxa"/>
          </w:tcPr>
          <w:p w14:paraId="2F36D2B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w:t>
            </w:r>
          </w:p>
        </w:tc>
      </w:tr>
      <w:tr w:rsidR="006C77DB" w:rsidRPr="006C77DB" w14:paraId="4FAFC38B"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2AB20F8"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w:t>
            </w:r>
          </w:p>
        </w:tc>
        <w:tc>
          <w:tcPr>
            <w:tcW w:w="1248" w:type="dxa"/>
          </w:tcPr>
          <w:p w14:paraId="6A1CA84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249" w:type="dxa"/>
          </w:tcPr>
          <w:p w14:paraId="687091F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249" w:type="dxa"/>
          </w:tcPr>
          <w:p w14:paraId="419DB42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178" w:type="dxa"/>
          </w:tcPr>
          <w:p w14:paraId="5A16530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1093" w:type="dxa"/>
          </w:tcPr>
          <w:p w14:paraId="257C193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c>
          <w:tcPr>
            <w:tcW w:w="990" w:type="dxa"/>
          </w:tcPr>
          <w:p w14:paraId="24E065D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w:t>
            </w:r>
          </w:p>
        </w:tc>
      </w:tr>
      <w:tr w:rsidR="006C77DB" w:rsidRPr="006C77DB" w14:paraId="2F1C9CE0"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4ED8E8E"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Caerd</w:t>
            </w:r>
          </w:p>
        </w:tc>
        <w:tc>
          <w:tcPr>
            <w:tcW w:w="1248" w:type="dxa"/>
          </w:tcPr>
          <w:p w14:paraId="4882960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w:t>
            </w:r>
          </w:p>
        </w:tc>
        <w:tc>
          <w:tcPr>
            <w:tcW w:w="1249" w:type="dxa"/>
          </w:tcPr>
          <w:p w14:paraId="54C19BF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41</w:t>
            </w:r>
          </w:p>
        </w:tc>
        <w:tc>
          <w:tcPr>
            <w:tcW w:w="1249" w:type="dxa"/>
          </w:tcPr>
          <w:p w14:paraId="22888F3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41</w:t>
            </w:r>
          </w:p>
        </w:tc>
        <w:tc>
          <w:tcPr>
            <w:tcW w:w="1178" w:type="dxa"/>
          </w:tcPr>
          <w:p w14:paraId="6BEB3E4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41</w:t>
            </w:r>
          </w:p>
        </w:tc>
        <w:tc>
          <w:tcPr>
            <w:tcW w:w="1093" w:type="dxa"/>
          </w:tcPr>
          <w:p w14:paraId="3AC1B31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w:t>
            </w:r>
          </w:p>
        </w:tc>
        <w:tc>
          <w:tcPr>
            <w:tcW w:w="990" w:type="dxa"/>
          </w:tcPr>
          <w:p w14:paraId="340140B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w:t>
            </w:r>
          </w:p>
        </w:tc>
      </w:tr>
      <w:tr w:rsidR="006C77DB" w:rsidRPr="006C77DB" w14:paraId="6BB82F3F"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7BB0288"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Caern</w:t>
            </w:r>
          </w:p>
        </w:tc>
        <w:tc>
          <w:tcPr>
            <w:tcW w:w="1248" w:type="dxa"/>
          </w:tcPr>
          <w:p w14:paraId="5C5D0E5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249" w:type="dxa"/>
          </w:tcPr>
          <w:p w14:paraId="78FC386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249" w:type="dxa"/>
          </w:tcPr>
          <w:p w14:paraId="7F0BEF7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178" w:type="dxa"/>
          </w:tcPr>
          <w:p w14:paraId="07EE05B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1093" w:type="dxa"/>
          </w:tcPr>
          <w:p w14:paraId="515D14F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154</w:t>
            </w:r>
          </w:p>
        </w:tc>
        <w:tc>
          <w:tcPr>
            <w:tcW w:w="990" w:type="dxa"/>
          </w:tcPr>
          <w:p w14:paraId="7AFA3460"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155</w:t>
            </w:r>
          </w:p>
        </w:tc>
      </w:tr>
      <w:tr w:rsidR="006C77DB" w:rsidRPr="006C77DB" w14:paraId="4D9B515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3F98524"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Caesa</w:t>
            </w:r>
          </w:p>
        </w:tc>
        <w:tc>
          <w:tcPr>
            <w:tcW w:w="1248" w:type="dxa"/>
          </w:tcPr>
          <w:p w14:paraId="6675764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249" w:type="dxa"/>
          </w:tcPr>
          <w:p w14:paraId="4347E84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249" w:type="dxa"/>
          </w:tcPr>
          <w:p w14:paraId="38A694C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178" w:type="dxa"/>
          </w:tcPr>
          <w:p w14:paraId="69A67DD7"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1093" w:type="dxa"/>
          </w:tcPr>
          <w:p w14:paraId="3336A25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c>
          <w:tcPr>
            <w:tcW w:w="990" w:type="dxa"/>
          </w:tcPr>
          <w:p w14:paraId="51FF638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w:t>
            </w:r>
          </w:p>
        </w:tc>
      </w:tr>
      <w:tr w:rsidR="006C77DB" w:rsidRPr="006C77DB" w14:paraId="5823D662"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A8D7CFB"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Caesb</w:t>
            </w:r>
          </w:p>
        </w:tc>
        <w:tc>
          <w:tcPr>
            <w:tcW w:w="1248" w:type="dxa"/>
          </w:tcPr>
          <w:p w14:paraId="0100905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249" w:type="dxa"/>
          </w:tcPr>
          <w:p w14:paraId="0DAEF7D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249" w:type="dxa"/>
          </w:tcPr>
          <w:p w14:paraId="0C667B2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178" w:type="dxa"/>
          </w:tcPr>
          <w:p w14:paraId="528E4A4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1093" w:type="dxa"/>
          </w:tcPr>
          <w:p w14:paraId="37C5AC6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c>
          <w:tcPr>
            <w:tcW w:w="990" w:type="dxa"/>
          </w:tcPr>
          <w:p w14:paraId="3574AD2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w:t>
            </w:r>
          </w:p>
        </w:tc>
      </w:tr>
      <w:tr w:rsidR="006C77DB" w:rsidRPr="006C77DB" w14:paraId="65B8165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1E45B4B"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Cagece</w:t>
            </w:r>
          </w:p>
        </w:tc>
        <w:tc>
          <w:tcPr>
            <w:tcW w:w="1248" w:type="dxa"/>
          </w:tcPr>
          <w:p w14:paraId="608F497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149</w:t>
            </w:r>
          </w:p>
        </w:tc>
        <w:tc>
          <w:tcPr>
            <w:tcW w:w="1249" w:type="dxa"/>
          </w:tcPr>
          <w:p w14:paraId="7401AEB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150</w:t>
            </w:r>
          </w:p>
        </w:tc>
        <w:tc>
          <w:tcPr>
            <w:tcW w:w="1249" w:type="dxa"/>
          </w:tcPr>
          <w:p w14:paraId="7F97CE6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150</w:t>
            </w:r>
          </w:p>
        </w:tc>
        <w:tc>
          <w:tcPr>
            <w:tcW w:w="1178" w:type="dxa"/>
          </w:tcPr>
          <w:p w14:paraId="7DD673C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150</w:t>
            </w:r>
          </w:p>
        </w:tc>
        <w:tc>
          <w:tcPr>
            <w:tcW w:w="1093" w:type="dxa"/>
          </w:tcPr>
          <w:p w14:paraId="272466D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151</w:t>
            </w:r>
          </w:p>
        </w:tc>
        <w:tc>
          <w:tcPr>
            <w:tcW w:w="990" w:type="dxa"/>
          </w:tcPr>
          <w:p w14:paraId="3A8A464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151</w:t>
            </w:r>
          </w:p>
        </w:tc>
      </w:tr>
      <w:tr w:rsidR="006C77DB" w:rsidRPr="006C77DB" w14:paraId="234CFB25"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23F13E6"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Cagepa</w:t>
            </w:r>
          </w:p>
        </w:tc>
        <w:tc>
          <w:tcPr>
            <w:tcW w:w="1248" w:type="dxa"/>
          </w:tcPr>
          <w:p w14:paraId="28EB5325"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w:t>
            </w:r>
          </w:p>
        </w:tc>
        <w:tc>
          <w:tcPr>
            <w:tcW w:w="1249" w:type="dxa"/>
          </w:tcPr>
          <w:p w14:paraId="66E17E3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184</w:t>
            </w:r>
          </w:p>
        </w:tc>
        <w:tc>
          <w:tcPr>
            <w:tcW w:w="1249" w:type="dxa"/>
          </w:tcPr>
          <w:p w14:paraId="73B3102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190</w:t>
            </w:r>
          </w:p>
        </w:tc>
        <w:tc>
          <w:tcPr>
            <w:tcW w:w="1178" w:type="dxa"/>
          </w:tcPr>
          <w:p w14:paraId="377F15F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195</w:t>
            </w:r>
          </w:p>
        </w:tc>
        <w:tc>
          <w:tcPr>
            <w:tcW w:w="1093" w:type="dxa"/>
          </w:tcPr>
          <w:p w14:paraId="217A52F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194</w:t>
            </w:r>
          </w:p>
        </w:tc>
        <w:tc>
          <w:tcPr>
            <w:tcW w:w="990" w:type="dxa"/>
          </w:tcPr>
          <w:p w14:paraId="6CCD83F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172</w:t>
            </w:r>
          </w:p>
        </w:tc>
      </w:tr>
      <w:tr w:rsidR="006C77DB" w:rsidRPr="006C77DB" w14:paraId="15ACD550"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B4B6E84"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Casal</w:t>
            </w:r>
          </w:p>
        </w:tc>
        <w:tc>
          <w:tcPr>
            <w:tcW w:w="1248" w:type="dxa"/>
          </w:tcPr>
          <w:p w14:paraId="77DBA10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249" w:type="dxa"/>
          </w:tcPr>
          <w:p w14:paraId="3FBCA88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249" w:type="dxa"/>
          </w:tcPr>
          <w:p w14:paraId="43997AE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178" w:type="dxa"/>
          </w:tcPr>
          <w:p w14:paraId="720C336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1093" w:type="dxa"/>
          </w:tcPr>
          <w:p w14:paraId="591BCCB4"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c>
          <w:tcPr>
            <w:tcW w:w="990" w:type="dxa"/>
          </w:tcPr>
          <w:p w14:paraId="1A8905B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76</w:t>
            </w:r>
          </w:p>
        </w:tc>
      </w:tr>
      <w:tr w:rsidR="006C77DB" w:rsidRPr="006C77DB" w14:paraId="4D62CB1B"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2800866"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Casan</w:t>
            </w:r>
          </w:p>
        </w:tc>
        <w:tc>
          <w:tcPr>
            <w:tcW w:w="1248" w:type="dxa"/>
          </w:tcPr>
          <w:p w14:paraId="24CEFC9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201</w:t>
            </w:r>
          </w:p>
        </w:tc>
        <w:tc>
          <w:tcPr>
            <w:tcW w:w="1249" w:type="dxa"/>
          </w:tcPr>
          <w:p w14:paraId="33BCBD9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202</w:t>
            </w:r>
          </w:p>
        </w:tc>
        <w:tc>
          <w:tcPr>
            <w:tcW w:w="1249" w:type="dxa"/>
          </w:tcPr>
          <w:p w14:paraId="6AC12A8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201</w:t>
            </w:r>
          </w:p>
        </w:tc>
        <w:tc>
          <w:tcPr>
            <w:tcW w:w="1178" w:type="dxa"/>
          </w:tcPr>
          <w:p w14:paraId="0F8A835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198</w:t>
            </w:r>
          </w:p>
        </w:tc>
        <w:tc>
          <w:tcPr>
            <w:tcW w:w="1093" w:type="dxa"/>
          </w:tcPr>
          <w:p w14:paraId="4FDDA72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199</w:t>
            </w:r>
          </w:p>
        </w:tc>
        <w:tc>
          <w:tcPr>
            <w:tcW w:w="990" w:type="dxa"/>
          </w:tcPr>
          <w:p w14:paraId="05634BE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199</w:t>
            </w:r>
          </w:p>
        </w:tc>
      </w:tr>
      <w:tr w:rsidR="006C77DB" w:rsidRPr="006C77DB" w14:paraId="7CBBEAA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216B8E0"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Cedae</w:t>
            </w:r>
          </w:p>
        </w:tc>
        <w:tc>
          <w:tcPr>
            <w:tcW w:w="1248" w:type="dxa"/>
          </w:tcPr>
          <w:p w14:paraId="1CBF631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61</w:t>
            </w:r>
          </w:p>
        </w:tc>
        <w:tc>
          <w:tcPr>
            <w:tcW w:w="1249" w:type="dxa"/>
          </w:tcPr>
          <w:p w14:paraId="75480FB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1249" w:type="dxa"/>
          </w:tcPr>
          <w:p w14:paraId="688EB99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1178" w:type="dxa"/>
          </w:tcPr>
          <w:p w14:paraId="4672AA0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1093" w:type="dxa"/>
          </w:tcPr>
          <w:p w14:paraId="37F09B2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c>
          <w:tcPr>
            <w:tcW w:w="990" w:type="dxa"/>
          </w:tcPr>
          <w:p w14:paraId="247D79F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63</w:t>
            </w:r>
          </w:p>
        </w:tc>
      </w:tr>
      <w:tr w:rsidR="006C77DB" w:rsidRPr="006C77DB" w14:paraId="127378BB"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0266CF9"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Cesan</w:t>
            </w:r>
          </w:p>
        </w:tc>
        <w:tc>
          <w:tcPr>
            <w:tcW w:w="1248" w:type="dxa"/>
          </w:tcPr>
          <w:p w14:paraId="6D2F77F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249" w:type="dxa"/>
          </w:tcPr>
          <w:p w14:paraId="511AA4C2"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249" w:type="dxa"/>
          </w:tcPr>
          <w:p w14:paraId="062F98E5"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178" w:type="dxa"/>
          </w:tcPr>
          <w:p w14:paraId="6B094AA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093" w:type="dxa"/>
          </w:tcPr>
          <w:p w14:paraId="5E82C59C"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990" w:type="dxa"/>
          </w:tcPr>
          <w:p w14:paraId="59E3C7C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r>
      <w:tr w:rsidR="006C77DB" w:rsidRPr="006C77DB" w14:paraId="6EEE11A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2EB5F31"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Compesa</w:t>
            </w:r>
          </w:p>
        </w:tc>
        <w:tc>
          <w:tcPr>
            <w:tcW w:w="1248" w:type="dxa"/>
          </w:tcPr>
          <w:p w14:paraId="4AAFE30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249" w:type="dxa"/>
          </w:tcPr>
          <w:p w14:paraId="58A5195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249" w:type="dxa"/>
          </w:tcPr>
          <w:p w14:paraId="50CA3FB3"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178" w:type="dxa"/>
          </w:tcPr>
          <w:p w14:paraId="79FAA41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1093" w:type="dxa"/>
          </w:tcPr>
          <w:p w14:paraId="1F76266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c>
          <w:tcPr>
            <w:tcW w:w="990" w:type="dxa"/>
          </w:tcPr>
          <w:p w14:paraId="12AC16A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w:t>
            </w:r>
          </w:p>
        </w:tc>
      </w:tr>
      <w:tr w:rsidR="006C77DB" w:rsidRPr="006C77DB" w14:paraId="79813C40"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E293A92"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Copasa</w:t>
            </w:r>
          </w:p>
        </w:tc>
        <w:tc>
          <w:tcPr>
            <w:tcW w:w="1248" w:type="dxa"/>
          </w:tcPr>
          <w:p w14:paraId="4EB8BE5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578</w:t>
            </w:r>
          </w:p>
        </w:tc>
        <w:tc>
          <w:tcPr>
            <w:tcW w:w="1249" w:type="dxa"/>
          </w:tcPr>
          <w:p w14:paraId="206AFE80"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571</w:t>
            </w:r>
          </w:p>
        </w:tc>
        <w:tc>
          <w:tcPr>
            <w:tcW w:w="1249" w:type="dxa"/>
          </w:tcPr>
          <w:p w14:paraId="43B247B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571</w:t>
            </w:r>
          </w:p>
        </w:tc>
        <w:tc>
          <w:tcPr>
            <w:tcW w:w="1178" w:type="dxa"/>
          </w:tcPr>
          <w:p w14:paraId="29773CA9"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568</w:t>
            </w:r>
          </w:p>
        </w:tc>
        <w:tc>
          <w:tcPr>
            <w:tcW w:w="1093" w:type="dxa"/>
          </w:tcPr>
          <w:p w14:paraId="5E5EE3C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572</w:t>
            </w:r>
          </w:p>
        </w:tc>
        <w:tc>
          <w:tcPr>
            <w:tcW w:w="990" w:type="dxa"/>
          </w:tcPr>
          <w:p w14:paraId="7956297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576</w:t>
            </w:r>
          </w:p>
        </w:tc>
      </w:tr>
      <w:tr w:rsidR="006C77DB" w:rsidRPr="006C77DB" w14:paraId="5AF8B8B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DF15FDA"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Corsan</w:t>
            </w:r>
          </w:p>
        </w:tc>
        <w:tc>
          <w:tcPr>
            <w:tcW w:w="1248" w:type="dxa"/>
          </w:tcPr>
          <w:p w14:paraId="5FF7311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314</w:t>
            </w:r>
          </w:p>
        </w:tc>
        <w:tc>
          <w:tcPr>
            <w:tcW w:w="1249" w:type="dxa"/>
          </w:tcPr>
          <w:p w14:paraId="29234C2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314</w:t>
            </w:r>
          </w:p>
        </w:tc>
        <w:tc>
          <w:tcPr>
            <w:tcW w:w="1249" w:type="dxa"/>
          </w:tcPr>
          <w:p w14:paraId="4A2D0CE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311</w:t>
            </w:r>
          </w:p>
        </w:tc>
        <w:tc>
          <w:tcPr>
            <w:tcW w:w="1178" w:type="dxa"/>
          </w:tcPr>
          <w:p w14:paraId="3D5484C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311</w:t>
            </w:r>
          </w:p>
        </w:tc>
        <w:tc>
          <w:tcPr>
            <w:tcW w:w="1093" w:type="dxa"/>
          </w:tcPr>
          <w:p w14:paraId="6E76D37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314</w:t>
            </w:r>
          </w:p>
        </w:tc>
        <w:tc>
          <w:tcPr>
            <w:tcW w:w="990" w:type="dxa"/>
          </w:tcPr>
          <w:p w14:paraId="5F9B116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315</w:t>
            </w:r>
          </w:p>
        </w:tc>
      </w:tr>
      <w:tr w:rsidR="006C77DB" w:rsidRPr="006C77DB" w14:paraId="15D00808"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2D46708"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Cosanpa</w:t>
            </w:r>
          </w:p>
        </w:tc>
        <w:tc>
          <w:tcPr>
            <w:tcW w:w="1248" w:type="dxa"/>
          </w:tcPr>
          <w:p w14:paraId="79816A1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58</w:t>
            </w:r>
          </w:p>
        </w:tc>
        <w:tc>
          <w:tcPr>
            <w:tcW w:w="1249" w:type="dxa"/>
          </w:tcPr>
          <w:p w14:paraId="74D0839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58</w:t>
            </w:r>
          </w:p>
        </w:tc>
        <w:tc>
          <w:tcPr>
            <w:tcW w:w="1249" w:type="dxa"/>
          </w:tcPr>
          <w:p w14:paraId="7E554CBC"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w:t>
            </w:r>
          </w:p>
        </w:tc>
        <w:tc>
          <w:tcPr>
            <w:tcW w:w="1178" w:type="dxa"/>
          </w:tcPr>
          <w:p w14:paraId="296DC581"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w:t>
            </w:r>
          </w:p>
        </w:tc>
        <w:tc>
          <w:tcPr>
            <w:tcW w:w="1093" w:type="dxa"/>
          </w:tcPr>
          <w:p w14:paraId="733EAD6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w:t>
            </w:r>
          </w:p>
        </w:tc>
        <w:tc>
          <w:tcPr>
            <w:tcW w:w="990" w:type="dxa"/>
          </w:tcPr>
          <w:p w14:paraId="468FCD9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56</w:t>
            </w:r>
          </w:p>
        </w:tc>
      </w:tr>
      <w:tr w:rsidR="006C77DB" w:rsidRPr="006C77DB" w14:paraId="0400BDC4"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8D0E861"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Depasa</w:t>
            </w:r>
          </w:p>
        </w:tc>
        <w:tc>
          <w:tcPr>
            <w:tcW w:w="1248" w:type="dxa"/>
          </w:tcPr>
          <w:p w14:paraId="316FCA6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w:t>
            </w:r>
          </w:p>
        </w:tc>
        <w:tc>
          <w:tcPr>
            <w:tcW w:w="1249" w:type="dxa"/>
          </w:tcPr>
          <w:p w14:paraId="28B479E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w:t>
            </w:r>
          </w:p>
        </w:tc>
        <w:tc>
          <w:tcPr>
            <w:tcW w:w="1249" w:type="dxa"/>
          </w:tcPr>
          <w:p w14:paraId="2EB489E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c>
          <w:tcPr>
            <w:tcW w:w="1178" w:type="dxa"/>
          </w:tcPr>
          <w:p w14:paraId="5F1A27B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c>
          <w:tcPr>
            <w:tcW w:w="1093" w:type="dxa"/>
          </w:tcPr>
          <w:p w14:paraId="0973AE45"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c>
          <w:tcPr>
            <w:tcW w:w="990" w:type="dxa"/>
          </w:tcPr>
          <w:p w14:paraId="35F1456A"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w:t>
            </w:r>
          </w:p>
        </w:tc>
      </w:tr>
      <w:tr w:rsidR="006C77DB" w:rsidRPr="006C77DB" w14:paraId="7F4556E9"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B7CBBE8"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Deso</w:t>
            </w:r>
          </w:p>
        </w:tc>
        <w:tc>
          <w:tcPr>
            <w:tcW w:w="1248" w:type="dxa"/>
          </w:tcPr>
          <w:p w14:paraId="6B41737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249" w:type="dxa"/>
          </w:tcPr>
          <w:p w14:paraId="48F89C2A"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249" w:type="dxa"/>
          </w:tcPr>
          <w:p w14:paraId="048BC69C"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178" w:type="dxa"/>
          </w:tcPr>
          <w:p w14:paraId="014F0FD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1093" w:type="dxa"/>
          </w:tcPr>
          <w:p w14:paraId="512045C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c>
          <w:tcPr>
            <w:tcW w:w="990" w:type="dxa"/>
          </w:tcPr>
          <w:p w14:paraId="5E22FCB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w:t>
            </w:r>
          </w:p>
        </w:tc>
      </w:tr>
      <w:tr w:rsidR="006C77DB" w:rsidRPr="006C77DB" w14:paraId="2C586CF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2241A76"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Embasa</w:t>
            </w:r>
          </w:p>
        </w:tc>
        <w:tc>
          <w:tcPr>
            <w:tcW w:w="1248" w:type="dxa"/>
          </w:tcPr>
          <w:p w14:paraId="5E17F768"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360</w:t>
            </w:r>
          </w:p>
        </w:tc>
        <w:tc>
          <w:tcPr>
            <w:tcW w:w="1249" w:type="dxa"/>
          </w:tcPr>
          <w:p w14:paraId="587B491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361</w:t>
            </w:r>
          </w:p>
        </w:tc>
        <w:tc>
          <w:tcPr>
            <w:tcW w:w="1249" w:type="dxa"/>
          </w:tcPr>
          <w:p w14:paraId="0CB0D2CD"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362</w:t>
            </w:r>
          </w:p>
        </w:tc>
        <w:tc>
          <w:tcPr>
            <w:tcW w:w="1178" w:type="dxa"/>
          </w:tcPr>
          <w:p w14:paraId="7693C03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1093" w:type="dxa"/>
          </w:tcPr>
          <w:p w14:paraId="1D41CB3C"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990" w:type="dxa"/>
          </w:tcPr>
          <w:p w14:paraId="001E7AC4"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366</w:t>
            </w:r>
          </w:p>
        </w:tc>
      </w:tr>
      <w:tr w:rsidR="006C77DB" w:rsidRPr="006C77DB" w14:paraId="58EAA711"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75A4A87"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Sabesp</w:t>
            </w:r>
          </w:p>
        </w:tc>
        <w:tc>
          <w:tcPr>
            <w:tcW w:w="1248" w:type="dxa"/>
          </w:tcPr>
          <w:p w14:paraId="3DEA07B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363</w:t>
            </w:r>
          </w:p>
        </w:tc>
        <w:tc>
          <w:tcPr>
            <w:tcW w:w="1249" w:type="dxa"/>
          </w:tcPr>
          <w:p w14:paraId="5637D0AD"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1249" w:type="dxa"/>
          </w:tcPr>
          <w:p w14:paraId="364D4FB8"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363</w:t>
            </w:r>
          </w:p>
        </w:tc>
        <w:tc>
          <w:tcPr>
            <w:tcW w:w="1178" w:type="dxa"/>
          </w:tcPr>
          <w:p w14:paraId="4EF81BA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363</w:t>
            </w:r>
          </w:p>
        </w:tc>
        <w:tc>
          <w:tcPr>
            <w:tcW w:w="1093" w:type="dxa"/>
          </w:tcPr>
          <w:p w14:paraId="1F49153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c>
          <w:tcPr>
            <w:tcW w:w="990" w:type="dxa"/>
          </w:tcPr>
          <w:p w14:paraId="51C04A2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364</w:t>
            </w:r>
          </w:p>
        </w:tc>
      </w:tr>
      <w:tr w:rsidR="006C77DB" w:rsidRPr="006C77DB" w14:paraId="7186D7C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D1827A5"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Saneago</w:t>
            </w:r>
          </w:p>
        </w:tc>
        <w:tc>
          <w:tcPr>
            <w:tcW w:w="1248" w:type="dxa"/>
          </w:tcPr>
          <w:p w14:paraId="62B5B111"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223</w:t>
            </w:r>
          </w:p>
        </w:tc>
        <w:tc>
          <w:tcPr>
            <w:tcW w:w="1249" w:type="dxa"/>
          </w:tcPr>
          <w:p w14:paraId="6F56C7F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223</w:t>
            </w:r>
          </w:p>
        </w:tc>
        <w:tc>
          <w:tcPr>
            <w:tcW w:w="1249" w:type="dxa"/>
          </w:tcPr>
          <w:p w14:paraId="6F434DE9"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224</w:t>
            </w:r>
          </w:p>
        </w:tc>
        <w:tc>
          <w:tcPr>
            <w:tcW w:w="1178" w:type="dxa"/>
          </w:tcPr>
          <w:p w14:paraId="0410E08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w:t>
            </w:r>
          </w:p>
        </w:tc>
        <w:tc>
          <w:tcPr>
            <w:tcW w:w="1093" w:type="dxa"/>
          </w:tcPr>
          <w:p w14:paraId="16835346"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w:t>
            </w:r>
          </w:p>
        </w:tc>
        <w:tc>
          <w:tcPr>
            <w:tcW w:w="990" w:type="dxa"/>
          </w:tcPr>
          <w:p w14:paraId="471E53EF"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w:t>
            </w:r>
          </w:p>
        </w:tc>
      </w:tr>
      <w:tr w:rsidR="006C77DB" w:rsidRPr="006C77DB" w14:paraId="5C97ABC2"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D11EDD3"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Saneatins</w:t>
            </w:r>
          </w:p>
        </w:tc>
        <w:tc>
          <w:tcPr>
            <w:tcW w:w="1248" w:type="dxa"/>
          </w:tcPr>
          <w:p w14:paraId="13DD986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w:t>
            </w:r>
          </w:p>
        </w:tc>
        <w:tc>
          <w:tcPr>
            <w:tcW w:w="1249" w:type="dxa"/>
          </w:tcPr>
          <w:p w14:paraId="372BD48C"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w:t>
            </w:r>
          </w:p>
        </w:tc>
        <w:tc>
          <w:tcPr>
            <w:tcW w:w="1249" w:type="dxa"/>
          </w:tcPr>
          <w:p w14:paraId="2785DCB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w:t>
            </w:r>
          </w:p>
        </w:tc>
        <w:tc>
          <w:tcPr>
            <w:tcW w:w="1178" w:type="dxa"/>
          </w:tcPr>
          <w:p w14:paraId="557255B7"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1093" w:type="dxa"/>
          </w:tcPr>
          <w:p w14:paraId="1E4F2E8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c>
          <w:tcPr>
            <w:tcW w:w="990" w:type="dxa"/>
          </w:tcPr>
          <w:p w14:paraId="5EB83A0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52</w:t>
            </w:r>
          </w:p>
        </w:tc>
      </w:tr>
      <w:tr w:rsidR="006C77DB" w:rsidRPr="006C77DB" w14:paraId="24A050CD"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1A523AB"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Sanepar</w:t>
            </w:r>
          </w:p>
        </w:tc>
        <w:tc>
          <w:tcPr>
            <w:tcW w:w="1248" w:type="dxa"/>
          </w:tcPr>
          <w:p w14:paraId="77562A1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344</w:t>
            </w:r>
          </w:p>
        </w:tc>
        <w:tc>
          <w:tcPr>
            <w:tcW w:w="1249" w:type="dxa"/>
          </w:tcPr>
          <w:p w14:paraId="3F98AAF0"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344</w:t>
            </w:r>
          </w:p>
        </w:tc>
        <w:tc>
          <w:tcPr>
            <w:tcW w:w="1249" w:type="dxa"/>
          </w:tcPr>
          <w:p w14:paraId="5EE28E3B"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c>
          <w:tcPr>
            <w:tcW w:w="1178" w:type="dxa"/>
          </w:tcPr>
          <w:p w14:paraId="34774D7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c>
          <w:tcPr>
            <w:tcW w:w="1093" w:type="dxa"/>
          </w:tcPr>
          <w:p w14:paraId="5FE4AF5E"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c>
          <w:tcPr>
            <w:tcW w:w="990" w:type="dxa"/>
          </w:tcPr>
          <w:p w14:paraId="632885C2" w14:textId="77777777" w:rsidR="006C77DB" w:rsidRPr="00EA348F" w:rsidRDefault="006C77D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345</w:t>
            </w:r>
          </w:p>
        </w:tc>
      </w:tr>
      <w:tr w:rsidR="006C77DB" w:rsidRPr="006C77DB" w14:paraId="0C5C6002" w14:textId="77777777" w:rsidTr="006C77D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5487C79" w14:textId="77777777" w:rsidR="006C77DB" w:rsidRPr="00EA348F" w:rsidRDefault="006C77D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Sanesul</w:t>
            </w:r>
          </w:p>
        </w:tc>
        <w:tc>
          <w:tcPr>
            <w:tcW w:w="1248" w:type="dxa"/>
          </w:tcPr>
          <w:p w14:paraId="38DC0A0B"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249" w:type="dxa"/>
          </w:tcPr>
          <w:p w14:paraId="6C7A2AE6"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249" w:type="dxa"/>
          </w:tcPr>
          <w:p w14:paraId="25CCB0C4"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178" w:type="dxa"/>
          </w:tcPr>
          <w:p w14:paraId="38A628BE"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1093" w:type="dxa"/>
          </w:tcPr>
          <w:p w14:paraId="5975DD2F"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c>
          <w:tcPr>
            <w:tcW w:w="990" w:type="dxa"/>
          </w:tcPr>
          <w:p w14:paraId="19B33DF3" w14:textId="77777777" w:rsidR="006C77DB" w:rsidRPr="00EA348F" w:rsidRDefault="006C77D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68</w:t>
            </w:r>
          </w:p>
        </w:tc>
      </w:tr>
    </w:tbl>
    <w:p w14:paraId="16AD50D9" w14:textId="47D3B291" w:rsidR="006C77DB" w:rsidRPr="00EA348F" w:rsidRDefault="00126253" w:rsidP="00EA348F">
      <w:r w:rsidRPr="00042F25">
        <w:rPr>
          <w:sz w:val="20"/>
        </w:rPr>
        <w:lastRenderedPageBreak/>
        <w:t>Fonte: SNIS 2015. Elaborado por: GO Associados</w:t>
      </w:r>
    </w:p>
    <w:p w14:paraId="1798C997" w14:textId="77777777" w:rsidR="009C109E" w:rsidRPr="00042F25" w:rsidRDefault="009C109E" w:rsidP="00EA348F">
      <w:pPr>
        <w:pStyle w:val="Descripcin"/>
        <w:spacing w:before="0" w:beforeAutospacing="0"/>
        <w:jc w:val="left"/>
      </w:pPr>
    </w:p>
    <w:p w14:paraId="165B05A3" w14:textId="0F11EF6C" w:rsidR="00126253" w:rsidRDefault="00126253" w:rsidP="00126253">
      <w:pPr>
        <w:pStyle w:val="Descripcin"/>
      </w:pPr>
      <w:bookmarkStart w:id="9" w:name="_Toc493222468"/>
      <w:r w:rsidRPr="00042F25">
        <w:t xml:space="preserve">Quadro </w:t>
      </w:r>
      <w:fldSimple w:instr=" SEQ Quadro \* ARABIC ">
        <w:r w:rsidR="00B64D1C" w:rsidRPr="00042F25">
          <w:rPr>
            <w:noProof/>
          </w:rPr>
          <w:t>4</w:t>
        </w:r>
      </w:fldSimple>
      <w:r w:rsidRPr="00042F25">
        <w:t xml:space="preserve"> – Quantidade Total de Municípios Atendidos com Esgotamento Sanitário (GE005b)</w:t>
      </w:r>
      <w:bookmarkEnd w:id="9"/>
    </w:p>
    <w:tbl>
      <w:tblPr>
        <w:tblStyle w:val="Tabladecuadrcula4-nfasis11"/>
        <w:tblW w:w="8494" w:type="dxa"/>
        <w:tblLook w:val="04A0" w:firstRow="1" w:lastRow="0" w:firstColumn="1" w:lastColumn="0" w:noHBand="0" w:noVBand="1"/>
      </w:tblPr>
      <w:tblGrid>
        <w:gridCol w:w="1487"/>
        <w:gridCol w:w="1248"/>
        <w:gridCol w:w="1249"/>
        <w:gridCol w:w="1249"/>
        <w:gridCol w:w="1178"/>
        <w:gridCol w:w="1093"/>
        <w:gridCol w:w="990"/>
      </w:tblGrid>
      <w:tr w:rsidR="006C77DB" w:rsidRPr="006C77DB" w14:paraId="3BCFE28F" w14:textId="77777777" w:rsidTr="00EA348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87" w:type="dxa"/>
            <w:hideMark/>
          </w:tcPr>
          <w:p w14:paraId="30E2D25A" w14:textId="77777777" w:rsidR="006C77DB" w:rsidRPr="00EA348F" w:rsidRDefault="006C77DB" w:rsidP="006C77DB">
            <w:pPr>
              <w:spacing w:before="0" w:beforeAutospacing="0" w:after="0" w:afterAutospacing="0" w:line="240" w:lineRule="auto"/>
              <w:ind w:firstLine="0"/>
              <w:jc w:val="left"/>
              <w:rPr>
                <w:color w:val="FFFFFF"/>
                <w:sz w:val="22"/>
                <w:lang w:eastAsia="es-CO"/>
              </w:rPr>
            </w:pPr>
            <w:r w:rsidRPr="006C77DB">
              <w:rPr>
                <w:color w:val="FFFFFF"/>
                <w:sz w:val="22"/>
                <w:lang w:eastAsia="es-CO"/>
              </w:rPr>
              <w:t>Empresa</w:t>
            </w:r>
          </w:p>
        </w:tc>
        <w:tc>
          <w:tcPr>
            <w:tcW w:w="1248" w:type="dxa"/>
            <w:hideMark/>
          </w:tcPr>
          <w:p w14:paraId="08AC8F74" w14:textId="77777777" w:rsidR="006C77DB" w:rsidRPr="00EA348F" w:rsidRDefault="006C77DB" w:rsidP="006C77D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2010</w:t>
            </w:r>
          </w:p>
        </w:tc>
        <w:tc>
          <w:tcPr>
            <w:tcW w:w="1249" w:type="dxa"/>
            <w:hideMark/>
          </w:tcPr>
          <w:p w14:paraId="5F0816ED" w14:textId="77777777" w:rsidR="006C77DB" w:rsidRPr="00EA348F" w:rsidRDefault="006C77DB" w:rsidP="006C77D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2011</w:t>
            </w:r>
          </w:p>
        </w:tc>
        <w:tc>
          <w:tcPr>
            <w:tcW w:w="1249" w:type="dxa"/>
            <w:hideMark/>
          </w:tcPr>
          <w:p w14:paraId="54646E5E" w14:textId="77777777" w:rsidR="006C77DB" w:rsidRPr="00EA348F" w:rsidRDefault="006C77DB" w:rsidP="006C77D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2012</w:t>
            </w:r>
          </w:p>
        </w:tc>
        <w:tc>
          <w:tcPr>
            <w:tcW w:w="1178" w:type="dxa"/>
            <w:hideMark/>
          </w:tcPr>
          <w:p w14:paraId="2BEAF80C" w14:textId="77777777" w:rsidR="006C77DB" w:rsidRPr="00EA348F" w:rsidRDefault="006C77DB" w:rsidP="006C77D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2013</w:t>
            </w:r>
          </w:p>
        </w:tc>
        <w:tc>
          <w:tcPr>
            <w:tcW w:w="1093" w:type="dxa"/>
            <w:hideMark/>
          </w:tcPr>
          <w:p w14:paraId="703AAD69" w14:textId="77777777" w:rsidR="006C77DB" w:rsidRPr="00EA348F" w:rsidRDefault="006C77DB" w:rsidP="006C77D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2014</w:t>
            </w:r>
          </w:p>
        </w:tc>
        <w:tc>
          <w:tcPr>
            <w:tcW w:w="990" w:type="dxa"/>
            <w:hideMark/>
          </w:tcPr>
          <w:p w14:paraId="161B992C" w14:textId="77777777" w:rsidR="006C77DB" w:rsidRPr="00EA348F" w:rsidRDefault="006C77DB" w:rsidP="006C77D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2015</w:t>
            </w:r>
          </w:p>
        </w:tc>
      </w:tr>
      <w:tr w:rsidR="006C77DB" w:rsidRPr="006C77DB" w14:paraId="6E59A0F9"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31335CEB"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Agespisa</w:t>
            </w:r>
          </w:p>
        </w:tc>
        <w:tc>
          <w:tcPr>
            <w:tcW w:w="1248" w:type="dxa"/>
            <w:hideMark/>
          </w:tcPr>
          <w:p w14:paraId="1A807C77"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w:t>
            </w:r>
          </w:p>
        </w:tc>
        <w:tc>
          <w:tcPr>
            <w:tcW w:w="1249" w:type="dxa"/>
            <w:hideMark/>
          </w:tcPr>
          <w:p w14:paraId="4E33939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w:t>
            </w:r>
          </w:p>
        </w:tc>
        <w:tc>
          <w:tcPr>
            <w:tcW w:w="1249" w:type="dxa"/>
            <w:hideMark/>
          </w:tcPr>
          <w:p w14:paraId="2BB1975E"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w:t>
            </w:r>
          </w:p>
        </w:tc>
        <w:tc>
          <w:tcPr>
            <w:tcW w:w="1178" w:type="dxa"/>
            <w:hideMark/>
          </w:tcPr>
          <w:p w14:paraId="5708BBA0"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w:t>
            </w:r>
          </w:p>
        </w:tc>
        <w:tc>
          <w:tcPr>
            <w:tcW w:w="1093" w:type="dxa"/>
            <w:hideMark/>
          </w:tcPr>
          <w:p w14:paraId="0512D819"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w:t>
            </w:r>
          </w:p>
        </w:tc>
        <w:tc>
          <w:tcPr>
            <w:tcW w:w="990" w:type="dxa"/>
            <w:hideMark/>
          </w:tcPr>
          <w:p w14:paraId="3EF8EAE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7</w:t>
            </w:r>
          </w:p>
        </w:tc>
      </w:tr>
      <w:tr w:rsidR="006C77DB" w:rsidRPr="006C77DB" w14:paraId="6F73EFFB"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7F815B9A"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Caema</w:t>
            </w:r>
          </w:p>
        </w:tc>
        <w:tc>
          <w:tcPr>
            <w:tcW w:w="1248" w:type="dxa"/>
            <w:hideMark/>
          </w:tcPr>
          <w:p w14:paraId="20A4198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1249" w:type="dxa"/>
            <w:hideMark/>
          </w:tcPr>
          <w:p w14:paraId="52754B1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1249" w:type="dxa"/>
            <w:hideMark/>
          </w:tcPr>
          <w:p w14:paraId="78CF2193"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w:t>
            </w:r>
          </w:p>
        </w:tc>
        <w:tc>
          <w:tcPr>
            <w:tcW w:w="1178" w:type="dxa"/>
            <w:hideMark/>
          </w:tcPr>
          <w:p w14:paraId="3D47EB48"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w:t>
            </w:r>
          </w:p>
        </w:tc>
        <w:tc>
          <w:tcPr>
            <w:tcW w:w="1093" w:type="dxa"/>
            <w:hideMark/>
          </w:tcPr>
          <w:p w14:paraId="0B19EBC5"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w:t>
            </w:r>
          </w:p>
        </w:tc>
        <w:tc>
          <w:tcPr>
            <w:tcW w:w="990" w:type="dxa"/>
            <w:hideMark/>
          </w:tcPr>
          <w:p w14:paraId="7C76AA65"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w:t>
            </w:r>
          </w:p>
        </w:tc>
      </w:tr>
      <w:tr w:rsidR="006C77DB" w:rsidRPr="006C77DB" w14:paraId="79853799"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4DCA63CC"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Caer</w:t>
            </w:r>
          </w:p>
        </w:tc>
        <w:tc>
          <w:tcPr>
            <w:tcW w:w="1248" w:type="dxa"/>
            <w:hideMark/>
          </w:tcPr>
          <w:p w14:paraId="68636D70"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249" w:type="dxa"/>
            <w:hideMark/>
          </w:tcPr>
          <w:p w14:paraId="496A43D8"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249" w:type="dxa"/>
            <w:hideMark/>
          </w:tcPr>
          <w:p w14:paraId="0CB98D5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178" w:type="dxa"/>
            <w:hideMark/>
          </w:tcPr>
          <w:p w14:paraId="4570DEBC"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093" w:type="dxa"/>
            <w:hideMark/>
          </w:tcPr>
          <w:p w14:paraId="161DA3B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990" w:type="dxa"/>
            <w:hideMark/>
          </w:tcPr>
          <w:p w14:paraId="0A1F9AE0"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r>
      <w:tr w:rsidR="006C77DB" w:rsidRPr="006C77DB" w14:paraId="2C852D81"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06B2D994"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Caer</w:t>
            </w:r>
            <w:r w:rsidRPr="00ED1D45">
              <w:rPr>
                <w:color w:val="000000"/>
                <w:sz w:val="22"/>
                <w:lang w:eastAsia="es-CO"/>
              </w:rPr>
              <w:t>d</w:t>
            </w:r>
          </w:p>
        </w:tc>
        <w:tc>
          <w:tcPr>
            <w:tcW w:w="1248" w:type="dxa"/>
            <w:hideMark/>
          </w:tcPr>
          <w:p w14:paraId="1651B2F3"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1249" w:type="dxa"/>
            <w:hideMark/>
          </w:tcPr>
          <w:p w14:paraId="574ABFE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1249" w:type="dxa"/>
            <w:hideMark/>
          </w:tcPr>
          <w:p w14:paraId="69B0365D"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1178" w:type="dxa"/>
            <w:hideMark/>
          </w:tcPr>
          <w:p w14:paraId="282271E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1093" w:type="dxa"/>
            <w:hideMark/>
          </w:tcPr>
          <w:p w14:paraId="4C78051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c>
          <w:tcPr>
            <w:tcW w:w="990" w:type="dxa"/>
            <w:hideMark/>
          </w:tcPr>
          <w:p w14:paraId="3367B485"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w:t>
            </w:r>
          </w:p>
        </w:tc>
      </w:tr>
      <w:tr w:rsidR="006C77DB" w:rsidRPr="006C77DB" w14:paraId="337D71F1"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0C2F89E1"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Caern</w:t>
            </w:r>
          </w:p>
        </w:tc>
        <w:tc>
          <w:tcPr>
            <w:tcW w:w="1248" w:type="dxa"/>
            <w:hideMark/>
          </w:tcPr>
          <w:p w14:paraId="16C93251"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40</w:t>
            </w:r>
          </w:p>
        </w:tc>
        <w:tc>
          <w:tcPr>
            <w:tcW w:w="1249" w:type="dxa"/>
            <w:hideMark/>
          </w:tcPr>
          <w:p w14:paraId="3F9BFC08"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41</w:t>
            </w:r>
          </w:p>
        </w:tc>
        <w:tc>
          <w:tcPr>
            <w:tcW w:w="1249" w:type="dxa"/>
            <w:hideMark/>
          </w:tcPr>
          <w:p w14:paraId="5E2097F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41</w:t>
            </w:r>
          </w:p>
        </w:tc>
        <w:tc>
          <w:tcPr>
            <w:tcW w:w="1178" w:type="dxa"/>
            <w:hideMark/>
          </w:tcPr>
          <w:p w14:paraId="2373EA5B"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41</w:t>
            </w:r>
          </w:p>
        </w:tc>
        <w:tc>
          <w:tcPr>
            <w:tcW w:w="1093" w:type="dxa"/>
            <w:hideMark/>
          </w:tcPr>
          <w:p w14:paraId="30F25AE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42</w:t>
            </w:r>
          </w:p>
        </w:tc>
        <w:tc>
          <w:tcPr>
            <w:tcW w:w="990" w:type="dxa"/>
            <w:hideMark/>
          </w:tcPr>
          <w:p w14:paraId="5C974D4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42</w:t>
            </w:r>
          </w:p>
        </w:tc>
      </w:tr>
      <w:tr w:rsidR="006C77DB" w:rsidRPr="006C77DB" w14:paraId="293D0922"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6E8904C3"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Caesa</w:t>
            </w:r>
          </w:p>
        </w:tc>
        <w:tc>
          <w:tcPr>
            <w:tcW w:w="1248" w:type="dxa"/>
            <w:hideMark/>
          </w:tcPr>
          <w:p w14:paraId="1988A15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w:t>
            </w:r>
          </w:p>
        </w:tc>
        <w:tc>
          <w:tcPr>
            <w:tcW w:w="1249" w:type="dxa"/>
            <w:hideMark/>
          </w:tcPr>
          <w:p w14:paraId="29A2E4E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w:t>
            </w:r>
          </w:p>
        </w:tc>
        <w:tc>
          <w:tcPr>
            <w:tcW w:w="1249" w:type="dxa"/>
            <w:hideMark/>
          </w:tcPr>
          <w:p w14:paraId="6934E270"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w:t>
            </w:r>
          </w:p>
        </w:tc>
        <w:tc>
          <w:tcPr>
            <w:tcW w:w="1178" w:type="dxa"/>
            <w:hideMark/>
          </w:tcPr>
          <w:p w14:paraId="2CDFBF13"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w:t>
            </w:r>
          </w:p>
        </w:tc>
        <w:tc>
          <w:tcPr>
            <w:tcW w:w="1093" w:type="dxa"/>
            <w:hideMark/>
          </w:tcPr>
          <w:p w14:paraId="1EB2145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w:t>
            </w:r>
          </w:p>
        </w:tc>
        <w:tc>
          <w:tcPr>
            <w:tcW w:w="990" w:type="dxa"/>
            <w:hideMark/>
          </w:tcPr>
          <w:p w14:paraId="30C24E27"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w:t>
            </w:r>
          </w:p>
        </w:tc>
      </w:tr>
      <w:tr w:rsidR="006C77DB" w:rsidRPr="006C77DB" w14:paraId="3E985E8A"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25942476"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Caesb</w:t>
            </w:r>
          </w:p>
        </w:tc>
        <w:tc>
          <w:tcPr>
            <w:tcW w:w="1248" w:type="dxa"/>
            <w:hideMark/>
          </w:tcPr>
          <w:p w14:paraId="3F4784CE"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249" w:type="dxa"/>
            <w:hideMark/>
          </w:tcPr>
          <w:p w14:paraId="35BEA6A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249" w:type="dxa"/>
            <w:hideMark/>
          </w:tcPr>
          <w:p w14:paraId="6E0D44D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178" w:type="dxa"/>
            <w:hideMark/>
          </w:tcPr>
          <w:p w14:paraId="0E17C27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093" w:type="dxa"/>
            <w:hideMark/>
          </w:tcPr>
          <w:p w14:paraId="408BB2D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990" w:type="dxa"/>
            <w:hideMark/>
          </w:tcPr>
          <w:p w14:paraId="4A587549"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r>
      <w:tr w:rsidR="006C77DB" w:rsidRPr="006C77DB" w14:paraId="47AFD86F"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766FB8FC"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Cagece</w:t>
            </w:r>
          </w:p>
        </w:tc>
        <w:tc>
          <w:tcPr>
            <w:tcW w:w="1248" w:type="dxa"/>
            <w:hideMark/>
          </w:tcPr>
          <w:p w14:paraId="3718881E"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71</w:t>
            </w:r>
          </w:p>
        </w:tc>
        <w:tc>
          <w:tcPr>
            <w:tcW w:w="1249" w:type="dxa"/>
            <w:hideMark/>
          </w:tcPr>
          <w:p w14:paraId="432AC861"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72</w:t>
            </w:r>
          </w:p>
        </w:tc>
        <w:tc>
          <w:tcPr>
            <w:tcW w:w="1249" w:type="dxa"/>
            <w:hideMark/>
          </w:tcPr>
          <w:p w14:paraId="5B56172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72</w:t>
            </w:r>
          </w:p>
        </w:tc>
        <w:tc>
          <w:tcPr>
            <w:tcW w:w="1178" w:type="dxa"/>
            <w:hideMark/>
          </w:tcPr>
          <w:p w14:paraId="10C29B1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72</w:t>
            </w:r>
          </w:p>
        </w:tc>
        <w:tc>
          <w:tcPr>
            <w:tcW w:w="1093" w:type="dxa"/>
            <w:hideMark/>
          </w:tcPr>
          <w:p w14:paraId="14C59BFA"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73</w:t>
            </w:r>
          </w:p>
        </w:tc>
        <w:tc>
          <w:tcPr>
            <w:tcW w:w="990" w:type="dxa"/>
            <w:hideMark/>
          </w:tcPr>
          <w:p w14:paraId="7BFD83A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73</w:t>
            </w:r>
          </w:p>
        </w:tc>
      </w:tr>
      <w:tr w:rsidR="006C77DB" w:rsidRPr="006C77DB" w14:paraId="28A7E865"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400EFA75"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Cagepa</w:t>
            </w:r>
          </w:p>
        </w:tc>
        <w:tc>
          <w:tcPr>
            <w:tcW w:w="1248" w:type="dxa"/>
            <w:hideMark/>
          </w:tcPr>
          <w:p w14:paraId="19AB3612"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19</w:t>
            </w:r>
          </w:p>
        </w:tc>
        <w:tc>
          <w:tcPr>
            <w:tcW w:w="1249" w:type="dxa"/>
            <w:hideMark/>
          </w:tcPr>
          <w:p w14:paraId="584602AA"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20</w:t>
            </w:r>
          </w:p>
        </w:tc>
        <w:tc>
          <w:tcPr>
            <w:tcW w:w="1249" w:type="dxa"/>
            <w:hideMark/>
          </w:tcPr>
          <w:p w14:paraId="10E1217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20</w:t>
            </w:r>
          </w:p>
        </w:tc>
        <w:tc>
          <w:tcPr>
            <w:tcW w:w="1178" w:type="dxa"/>
            <w:hideMark/>
          </w:tcPr>
          <w:p w14:paraId="27CD35FC"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w:t>
            </w:r>
          </w:p>
        </w:tc>
        <w:tc>
          <w:tcPr>
            <w:tcW w:w="1093" w:type="dxa"/>
            <w:hideMark/>
          </w:tcPr>
          <w:p w14:paraId="069CCC08"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21</w:t>
            </w:r>
          </w:p>
        </w:tc>
        <w:tc>
          <w:tcPr>
            <w:tcW w:w="990" w:type="dxa"/>
            <w:hideMark/>
          </w:tcPr>
          <w:p w14:paraId="484C0D52"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w:t>
            </w:r>
          </w:p>
        </w:tc>
      </w:tr>
      <w:tr w:rsidR="006C77DB" w:rsidRPr="006C77DB" w14:paraId="45B64C03"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4C8B29DB"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Casal</w:t>
            </w:r>
          </w:p>
        </w:tc>
        <w:tc>
          <w:tcPr>
            <w:tcW w:w="1248" w:type="dxa"/>
            <w:hideMark/>
          </w:tcPr>
          <w:p w14:paraId="11D1951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w:t>
            </w:r>
          </w:p>
        </w:tc>
        <w:tc>
          <w:tcPr>
            <w:tcW w:w="1249" w:type="dxa"/>
            <w:hideMark/>
          </w:tcPr>
          <w:p w14:paraId="30528295"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w:t>
            </w:r>
          </w:p>
        </w:tc>
        <w:tc>
          <w:tcPr>
            <w:tcW w:w="1249" w:type="dxa"/>
            <w:hideMark/>
          </w:tcPr>
          <w:p w14:paraId="68684A1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w:t>
            </w:r>
          </w:p>
        </w:tc>
        <w:tc>
          <w:tcPr>
            <w:tcW w:w="1178" w:type="dxa"/>
            <w:hideMark/>
          </w:tcPr>
          <w:p w14:paraId="03EE7A5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8</w:t>
            </w:r>
          </w:p>
        </w:tc>
        <w:tc>
          <w:tcPr>
            <w:tcW w:w="1093" w:type="dxa"/>
            <w:hideMark/>
          </w:tcPr>
          <w:p w14:paraId="6ED93C37"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w:t>
            </w:r>
          </w:p>
        </w:tc>
        <w:tc>
          <w:tcPr>
            <w:tcW w:w="990" w:type="dxa"/>
            <w:hideMark/>
          </w:tcPr>
          <w:p w14:paraId="1EE8028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w:t>
            </w:r>
          </w:p>
        </w:tc>
      </w:tr>
      <w:tr w:rsidR="006C77DB" w:rsidRPr="006C77DB" w14:paraId="338CBD35"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7D8EEDCC"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Casan</w:t>
            </w:r>
          </w:p>
        </w:tc>
        <w:tc>
          <w:tcPr>
            <w:tcW w:w="1248" w:type="dxa"/>
            <w:hideMark/>
          </w:tcPr>
          <w:p w14:paraId="6F459BB9"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w:t>
            </w:r>
          </w:p>
        </w:tc>
        <w:tc>
          <w:tcPr>
            <w:tcW w:w="1249" w:type="dxa"/>
            <w:hideMark/>
          </w:tcPr>
          <w:p w14:paraId="5C7408B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w:t>
            </w:r>
          </w:p>
        </w:tc>
        <w:tc>
          <w:tcPr>
            <w:tcW w:w="1249" w:type="dxa"/>
            <w:hideMark/>
          </w:tcPr>
          <w:p w14:paraId="6A7EF55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w:t>
            </w:r>
          </w:p>
        </w:tc>
        <w:tc>
          <w:tcPr>
            <w:tcW w:w="1178" w:type="dxa"/>
            <w:hideMark/>
          </w:tcPr>
          <w:p w14:paraId="239833C0"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w:t>
            </w:r>
          </w:p>
        </w:tc>
        <w:tc>
          <w:tcPr>
            <w:tcW w:w="1093" w:type="dxa"/>
            <w:hideMark/>
          </w:tcPr>
          <w:p w14:paraId="2106185B"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w:t>
            </w:r>
          </w:p>
        </w:tc>
        <w:tc>
          <w:tcPr>
            <w:tcW w:w="990" w:type="dxa"/>
            <w:hideMark/>
          </w:tcPr>
          <w:p w14:paraId="01E1191A"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w:t>
            </w:r>
          </w:p>
        </w:tc>
      </w:tr>
      <w:tr w:rsidR="006C77DB" w:rsidRPr="006C77DB" w14:paraId="21D9AB65"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39436E07"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Cedae</w:t>
            </w:r>
          </w:p>
        </w:tc>
        <w:tc>
          <w:tcPr>
            <w:tcW w:w="1248" w:type="dxa"/>
            <w:hideMark/>
          </w:tcPr>
          <w:p w14:paraId="6AE0CFDE"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w:t>
            </w:r>
          </w:p>
        </w:tc>
        <w:tc>
          <w:tcPr>
            <w:tcW w:w="1249" w:type="dxa"/>
            <w:hideMark/>
          </w:tcPr>
          <w:p w14:paraId="4D9362D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w:t>
            </w:r>
          </w:p>
        </w:tc>
        <w:tc>
          <w:tcPr>
            <w:tcW w:w="1249" w:type="dxa"/>
            <w:hideMark/>
          </w:tcPr>
          <w:p w14:paraId="2A44DC28"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w:t>
            </w:r>
          </w:p>
        </w:tc>
        <w:tc>
          <w:tcPr>
            <w:tcW w:w="1178" w:type="dxa"/>
            <w:hideMark/>
          </w:tcPr>
          <w:p w14:paraId="2EBEA786"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w:t>
            </w:r>
          </w:p>
        </w:tc>
        <w:tc>
          <w:tcPr>
            <w:tcW w:w="1093" w:type="dxa"/>
            <w:hideMark/>
          </w:tcPr>
          <w:p w14:paraId="632D93F9"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w:t>
            </w:r>
          </w:p>
        </w:tc>
        <w:tc>
          <w:tcPr>
            <w:tcW w:w="990" w:type="dxa"/>
            <w:hideMark/>
          </w:tcPr>
          <w:p w14:paraId="66929E8E"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w:t>
            </w:r>
          </w:p>
        </w:tc>
      </w:tr>
      <w:tr w:rsidR="006C77DB" w:rsidRPr="006C77DB" w14:paraId="3833A6CE"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3690F432"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Cesan</w:t>
            </w:r>
          </w:p>
        </w:tc>
        <w:tc>
          <w:tcPr>
            <w:tcW w:w="1248" w:type="dxa"/>
            <w:hideMark/>
          </w:tcPr>
          <w:p w14:paraId="71F4E5F9"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w:t>
            </w:r>
          </w:p>
        </w:tc>
        <w:tc>
          <w:tcPr>
            <w:tcW w:w="1249" w:type="dxa"/>
            <w:hideMark/>
          </w:tcPr>
          <w:p w14:paraId="5B276A0E"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w:t>
            </w:r>
          </w:p>
        </w:tc>
        <w:tc>
          <w:tcPr>
            <w:tcW w:w="1249" w:type="dxa"/>
            <w:hideMark/>
          </w:tcPr>
          <w:p w14:paraId="121C8ACF"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24</w:t>
            </w:r>
          </w:p>
        </w:tc>
        <w:tc>
          <w:tcPr>
            <w:tcW w:w="1178" w:type="dxa"/>
            <w:hideMark/>
          </w:tcPr>
          <w:p w14:paraId="6C05D401"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26</w:t>
            </w:r>
          </w:p>
        </w:tc>
        <w:tc>
          <w:tcPr>
            <w:tcW w:w="1093" w:type="dxa"/>
            <w:hideMark/>
          </w:tcPr>
          <w:p w14:paraId="36A31C08"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26</w:t>
            </w:r>
          </w:p>
        </w:tc>
        <w:tc>
          <w:tcPr>
            <w:tcW w:w="990" w:type="dxa"/>
            <w:hideMark/>
          </w:tcPr>
          <w:p w14:paraId="2A772783"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27</w:t>
            </w:r>
          </w:p>
        </w:tc>
      </w:tr>
      <w:tr w:rsidR="006C77DB" w:rsidRPr="006C77DB" w14:paraId="0301BC99"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3092FAFD"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Compesa</w:t>
            </w:r>
          </w:p>
        </w:tc>
        <w:tc>
          <w:tcPr>
            <w:tcW w:w="1248" w:type="dxa"/>
            <w:hideMark/>
          </w:tcPr>
          <w:p w14:paraId="11B380B3"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21</w:t>
            </w:r>
          </w:p>
        </w:tc>
        <w:tc>
          <w:tcPr>
            <w:tcW w:w="1249" w:type="dxa"/>
            <w:hideMark/>
          </w:tcPr>
          <w:p w14:paraId="2E5CFCC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23</w:t>
            </w:r>
          </w:p>
        </w:tc>
        <w:tc>
          <w:tcPr>
            <w:tcW w:w="1249" w:type="dxa"/>
            <w:hideMark/>
          </w:tcPr>
          <w:p w14:paraId="4059A559"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23</w:t>
            </w:r>
          </w:p>
        </w:tc>
        <w:tc>
          <w:tcPr>
            <w:tcW w:w="1178" w:type="dxa"/>
            <w:hideMark/>
          </w:tcPr>
          <w:p w14:paraId="4A291F5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25</w:t>
            </w:r>
          </w:p>
        </w:tc>
        <w:tc>
          <w:tcPr>
            <w:tcW w:w="1093" w:type="dxa"/>
            <w:hideMark/>
          </w:tcPr>
          <w:p w14:paraId="26A569C3"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w:t>
            </w:r>
          </w:p>
        </w:tc>
        <w:tc>
          <w:tcPr>
            <w:tcW w:w="990" w:type="dxa"/>
            <w:hideMark/>
          </w:tcPr>
          <w:p w14:paraId="32D7270C"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27</w:t>
            </w:r>
          </w:p>
        </w:tc>
      </w:tr>
      <w:tr w:rsidR="006C77DB" w:rsidRPr="006C77DB" w14:paraId="31AB0248"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74ACE6C3"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Copa</w:t>
            </w:r>
            <w:r w:rsidRPr="00ED1D45">
              <w:rPr>
                <w:color w:val="000000"/>
                <w:sz w:val="22"/>
                <w:lang w:eastAsia="es-CO"/>
              </w:rPr>
              <w:t>sa</w:t>
            </w:r>
          </w:p>
        </w:tc>
        <w:tc>
          <w:tcPr>
            <w:tcW w:w="1248" w:type="dxa"/>
            <w:hideMark/>
          </w:tcPr>
          <w:p w14:paraId="281DB4F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156</w:t>
            </w:r>
          </w:p>
        </w:tc>
        <w:tc>
          <w:tcPr>
            <w:tcW w:w="1249" w:type="dxa"/>
            <w:hideMark/>
          </w:tcPr>
          <w:p w14:paraId="16B518EB"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169</w:t>
            </w:r>
          </w:p>
        </w:tc>
        <w:tc>
          <w:tcPr>
            <w:tcW w:w="1249" w:type="dxa"/>
            <w:hideMark/>
          </w:tcPr>
          <w:p w14:paraId="3C899C07"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171</w:t>
            </w:r>
          </w:p>
        </w:tc>
        <w:tc>
          <w:tcPr>
            <w:tcW w:w="1178" w:type="dxa"/>
            <w:hideMark/>
          </w:tcPr>
          <w:p w14:paraId="06339C47"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187</w:t>
            </w:r>
          </w:p>
        </w:tc>
        <w:tc>
          <w:tcPr>
            <w:tcW w:w="1093" w:type="dxa"/>
            <w:hideMark/>
          </w:tcPr>
          <w:p w14:paraId="04FEFA3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195</w:t>
            </w:r>
          </w:p>
        </w:tc>
        <w:tc>
          <w:tcPr>
            <w:tcW w:w="990" w:type="dxa"/>
            <w:hideMark/>
          </w:tcPr>
          <w:p w14:paraId="44D16F63"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204</w:t>
            </w:r>
          </w:p>
        </w:tc>
      </w:tr>
      <w:tr w:rsidR="006C77DB" w:rsidRPr="006C77DB" w14:paraId="36090F65"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08834B6B"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Corsan</w:t>
            </w:r>
          </w:p>
        </w:tc>
        <w:tc>
          <w:tcPr>
            <w:tcW w:w="1248" w:type="dxa"/>
            <w:hideMark/>
          </w:tcPr>
          <w:p w14:paraId="2FF0F16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45</w:t>
            </w:r>
          </w:p>
        </w:tc>
        <w:tc>
          <w:tcPr>
            <w:tcW w:w="1249" w:type="dxa"/>
            <w:hideMark/>
          </w:tcPr>
          <w:p w14:paraId="4969083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44</w:t>
            </w:r>
          </w:p>
        </w:tc>
        <w:tc>
          <w:tcPr>
            <w:tcW w:w="1249" w:type="dxa"/>
            <w:hideMark/>
          </w:tcPr>
          <w:p w14:paraId="5D6C974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44</w:t>
            </w:r>
          </w:p>
        </w:tc>
        <w:tc>
          <w:tcPr>
            <w:tcW w:w="1178" w:type="dxa"/>
            <w:hideMark/>
          </w:tcPr>
          <w:p w14:paraId="29F5015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45</w:t>
            </w:r>
          </w:p>
        </w:tc>
        <w:tc>
          <w:tcPr>
            <w:tcW w:w="1093" w:type="dxa"/>
            <w:hideMark/>
          </w:tcPr>
          <w:p w14:paraId="37426D48"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46</w:t>
            </w:r>
          </w:p>
        </w:tc>
        <w:tc>
          <w:tcPr>
            <w:tcW w:w="990" w:type="dxa"/>
            <w:hideMark/>
          </w:tcPr>
          <w:p w14:paraId="0A673FD9"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48</w:t>
            </w:r>
          </w:p>
        </w:tc>
      </w:tr>
      <w:tr w:rsidR="006C77DB" w:rsidRPr="006C77DB" w14:paraId="0693DF42"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14A06BF0"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Cosanpa</w:t>
            </w:r>
          </w:p>
        </w:tc>
        <w:tc>
          <w:tcPr>
            <w:tcW w:w="1248" w:type="dxa"/>
            <w:hideMark/>
          </w:tcPr>
          <w:p w14:paraId="69598C49"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249" w:type="dxa"/>
            <w:hideMark/>
          </w:tcPr>
          <w:p w14:paraId="2B67ABE8"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249" w:type="dxa"/>
            <w:hideMark/>
          </w:tcPr>
          <w:p w14:paraId="433A9F86"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w:t>
            </w:r>
          </w:p>
        </w:tc>
        <w:tc>
          <w:tcPr>
            <w:tcW w:w="1178" w:type="dxa"/>
            <w:hideMark/>
          </w:tcPr>
          <w:p w14:paraId="3B06B30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1093" w:type="dxa"/>
            <w:hideMark/>
          </w:tcPr>
          <w:p w14:paraId="0B0E8A68"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c>
          <w:tcPr>
            <w:tcW w:w="990" w:type="dxa"/>
            <w:hideMark/>
          </w:tcPr>
          <w:p w14:paraId="47E0651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w:t>
            </w:r>
          </w:p>
        </w:tc>
      </w:tr>
      <w:tr w:rsidR="006C77DB" w:rsidRPr="006C77DB" w14:paraId="4EA118FB"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71E892A8"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Depasa</w:t>
            </w:r>
          </w:p>
        </w:tc>
        <w:tc>
          <w:tcPr>
            <w:tcW w:w="1248" w:type="dxa"/>
            <w:hideMark/>
          </w:tcPr>
          <w:p w14:paraId="024F334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0</w:t>
            </w:r>
          </w:p>
        </w:tc>
        <w:tc>
          <w:tcPr>
            <w:tcW w:w="1249" w:type="dxa"/>
            <w:hideMark/>
          </w:tcPr>
          <w:p w14:paraId="336E7179"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0</w:t>
            </w:r>
          </w:p>
        </w:tc>
        <w:tc>
          <w:tcPr>
            <w:tcW w:w="1249" w:type="dxa"/>
            <w:hideMark/>
          </w:tcPr>
          <w:p w14:paraId="2F040A86"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w:t>
            </w:r>
          </w:p>
        </w:tc>
        <w:tc>
          <w:tcPr>
            <w:tcW w:w="1178" w:type="dxa"/>
            <w:hideMark/>
          </w:tcPr>
          <w:p w14:paraId="49147FC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w:t>
            </w:r>
          </w:p>
        </w:tc>
        <w:tc>
          <w:tcPr>
            <w:tcW w:w="1093" w:type="dxa"/>
            <w:hideMark/>
          </w:tcPr>
          <w:p w14:paraId="32780CD4"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w:t>
            </w:r>
          </w:p>
        </w:tc>
        <w:tc>
          <w:tcPr>
            <w:tcW w:w="990" w:type="dxa"/>
            <w:hideMark/>
          </w:tcPr>
          <w:p w14:paraId="4290F8A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w:t>
            </w:r>
          </w:p>
        </w:tc>
      </w:tr>
      <w:tr w:rsidR="006C77DB" w:rsidRPr="006C77DB" w14:paraId="629DAFD2"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154832FF"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Deso</w:t>
            </w:r>
          </w:p>
        </w:tc>
        <w:tc>
          <w:tcPr>
            <w:tcW w:w="1248" w:type="dxa"/>
            <w:hideMark/>
          </w:tcPr>
          <w:p w14:paraId="0DD92400"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w:t>
            </w:r>
          </w:p>
        </w:tc>
        <w:tc>
          <w:tcPr>
            <w:tcW w:w="1249" w:type="dxa"/>
            <w:hideMark/>
          </w:tcPr>
          <w:p w14:paraId="5E46D2CA"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w:t>
            </w:r>
          </w:p>
        </w:tc>
        <w:tc>
          <w:tcPr>
            <w:tcW w:w="1249" w:type="dxa"/>
            <w:hideMark/>
          </w:tcPr>
          <w:p w14:paraId="5E117176"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w:t>
            </w:r>
          </w:p>
        </w:tc>
        <w:tc>
          <w:tcPr>
            <w:tcW w:w="1178" w:type="dxa"/>
            <w:hideMark/>
          </w:tcPr>
          <w:p w14:paraId="5E3AB327"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w:t>
            </w:r>
          </w:p>
        </w:tc>
        <w:tc>
          <w:tcPr>
            <w:tcW w:w="1093" w:type="dxa"/>
            <w:hideMark/>
          </w:tcPr>
          <w:p w14:paraId="0CF7BF9B"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w:t>
            </w:r>
          </w:p>
        </w:tc>
        <w:tc>
          <w:tcPr>
            <w:tcW w:w="990" w:type="dxa"/>
            <w:hideMark/>
          </w:tcPr>
          <w:p w14:paraId="177E4805"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w:t>
            </w:r>
          </w:p>
        </w:tc>
      </w:tr>
      <w:tr w:rsidR="006C77DB" w:rsidRPr="006C77DB" w14:paraId="244569E2"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566EFA7B"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Embasa</w:t>
            </w:r>
          </w:p>
        </w:tc>
        <w:tc>
          <w:tcPr>
            <w:tcW w:w="1248" w:type="dxa"/>
            <w:hideMark/>
          </w:tcPr>
          <w:p w14:paraId="7A8C2FCD"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70</w:t>
            </w:r>
          </w:p>
        </w:tc>
        <w:tc>
          <w:tcPr>
            <w:tcW w:w="1249" w:type="dxa"/>
            <w:hideMark/>
          </w:tcPr>
          <w:p w14:paraId="6F12B39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72</w:t>
            </w:r>
          </w:p>
        </w:tc>
        <w:tc>
          <w:tcPr>
            <w:tcW w:w="1249" w:type="dxa"/>
            <w:hideMark/>
          </w:tcPr>
          <w:p w14:paraId="3B81C72F"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81</w:t>
            </w:r>
          </w:p>
        </w:tc>
        <w:tc>
          <w:tcPr>
            <w:tcW w:w="1178" w:type="dxa"/>
            <w:hideMark/>
          </w:tcPr>
          <w:p w14:paraId="7CC3299E"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90</w:t>
            </w:r>
          </w:p>
        </w:tc>
        <w:tc>
          <w:tcPr>
            <w:tcW w:w="1093" w:type="dxa"/>
            <w:hideMark/>
          </w:tcPr>
          <w:p w14:paraId="6620808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94</w:t>
            </w:r>
          </w:p>
        </w:tc>
        <w:tc>
          <w:tcPr>
            <w:tcW w:w="990" w:type="dxa"/>
            <w:hideMark/>
          </w:tcPr>
          <w:p w14:paraId="07F02EF0"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96</w:t>
            </w:r>
          </w:p>
        </w:tc>
      </w:tr>
      <w:tr w:rsidR="006C77DB" w:rsidRPr="006C77DB" w14:paraId="36E5900B"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15FBBB87"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Sabesp</w:t>
            </w:r>
          </w:p>
        </w:tc>
        <w:tc>
          <w:tcPr>
            <w:tcW w:w="1248" w:type="dxa"/>
            <w:hideMark/>
          </w:tcPr>
          <w:p w14:paraId="7555D4E6"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362</w:t>
            </w:r>
          </w:p>
        </w:tc>
        <w:tc>
          <w:tcPr>
            <w:tcW w:w="1249" w:type="dxa"/>
            <w:hideMark/>
          </w:tcPr>
          <w:p w14:paraId="78D577DC"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363</w:t>
            </w:r>
          </w:p>
        </w:tc>
        <w:tc>
          <w:tcPr>
            <w:tcW w:w="1249" w:type="dxa"/>
            <w:hideMark/>
          </w:tcPr>
          <w:p w14:paraId="306419F3"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362</w:t>
            </w:r>
          </w:p>
        </w:tc>
        <w:tc>
          <w:tcPr>
            <w:tcW w:w="1178" w:type="dxa"/>
            <w:hideMark/>
          </w:tcPr>
          <w:p w14:paraId="0B444FD4"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362</w:t>
            </w:r>
          </w:p>
        </w:tc>
        <w:tc>
          <w:tcPr>
            <w:tcW w:w="1093" w:type="dxa"/>
            <w:hideMark/>
          </w:tcPr>
          <w:p w14:paraId="56B7359B"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363</w:t>
            </w:r>
          </w:p>
        </w:tc>
        <w:tc>
          <w:tcPr>
            <w:tcW w:w="990" w:type="dxa"/>
            <w:hideMark/>
          </w:tcPr>
          <w:p w14:paraId="4D9060FC"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363</w:t>
            </w:r>
          </w:p>
        </w:tc>
      </w:tr>
      <w:tr w:rsidR="006C77DB" w:rsidRPr="006C77DB" w14:paraId="5CF66B16"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1FD3D070"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Saneago</w:t>
            </w:r>
          </w:p>
        </w:tc>
        <w:tc>
          <w:tcPr>
            <w:tcW w:w="1248" w:type="dxa"/>
            <w:hideMark/>
          </w:tcPr>
          <w:p w14:paraId="1BF0156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62</w:t>
            </w:r>
          </w:p>
        </w:tc>
        <w:tc>
          <w:tcPr>
            <w:tcW w:w="1249" w:type="dxa"/>
            <w:hideMark/>
          </w:tcPr>
          <w:p w14:paraId="64710905"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66</w:t>
            </w:r>
          </w:p>
        </w:tc>
        <w:tc>
          <w:tcPr>
            <w:tcW w:w="1249" w:type="dxa"/>
            <w:hideMark/>
          </w:tcPr>
          <w:p w14:paraId="5F73FC66"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68</w:t>
            </w:r>
          </w:p>
        </w:tc>
        <w:tc>
          <w:tcPr>
            <w:tcW w:w="1178" w:type="dxa"/>
            <w:hideMark/>
          </w:tcPr>
          <w:p w14:paraId="7FA6D15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69</w:t>
            </w:r>
          </w:p>
        </w:tc>
        <w:tc>
          <w:tcPr>
            <w:tcW w:w="1093" w:type="dxa"/>
            <w:hideMark/>
          </w:tcPr>
          <w:p w14:paraId="3DBA9D60"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69</w:t>
            </w:r>
          </w:p>
        </w:tc>
        <w:tc>
          <w:tcPr>
            <w:tcW w:w="990" w:type="dxa"/>
            <w:hideMark/>
          </w:tcPr>
          <w:p w14:paraId="3B343588"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69</w:t>
            </w:r>
          </w:p>
        </w:tc>
      </w:tr>
      <w:tr w:rsidR="006C77DB" w:rsidRPr="006C77DB" w14:paraId="65B18057"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74770C2C"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EA348F">
              <w:rPr>
                <w:color w:val="000000"/>
                <w:sz w:val="22"/>
                <w:lang w:eastAsia="es-CO"/>
              </w:rPr>
              <w:t>Saneatins</w:t>
            </w:r>
          </w:p>
        </w:tc>
        <w:tc>
          <w:tcPr>
            <w:tcW w:w="1248" w:type="dxa"/>
            <w:hideMark/>
          </w:tcPr>
          <w:p w14:paraId="161AE461"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10</w:t>
            </w:r>
          </w:p>
        </w:tc>
        <w:tc>
          <w:tcPr>
            <w:tcW w:w="1249" w:type="dxa"/>
            <w:hideMark/>
          </w:tcPr>
          <w:p w14:paraId="20B82266"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10</w:t>
            </w:r>
          </w:p>
        </w:tc>
        <w:tc>
          <w:tcPr>
            <w:tcW w:w="1249" w:type="dxa"/>
            <w:hideMark/>
          </w:tcPr>
          <w:p w14:paraId="530C6FA1"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10</w:t>
            </w:r>
          </w:p>
        </w:tc>
        <w:tc>
          <w:tcPr>
            <w:tcW w:w="1178" w:type="dxa"/>
            <w:hideMark/>
          </w:tcPr>
          <w:p w14:paraId="1F2365C2"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13</w:t>
            </w:r>
          </w:p>
        </w:tc>
        <w:tc>
          <w:tcPr>
            <w:tcW w:w="1093" w:type="dxa"/>
            <w:hideMark/>
          </w:tcPr>
          <w:p w14:paraId="2C037707"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13</w:t>
            </w:r>
          </w:p>
        </w:tc>
        <w:tc>
          <w:tcPr>
            <w:tcW w:w="990" w:type="dxa"/>
            <w:hideMark/>
          </w:tcPr>
          <w:p w14:paraId="1BFA2030"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13</w:t>
            </w:r>
          </w:p>
        </w:tc>
      </w:tr>
      <w:tr w:rsidR="006C77DB" w:rsidRPr="006C77DB" w14:paraId="69C3D622" w14:textId="77777777" w:rsidTr="00EA348F">
        <w:trPr>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65957E91"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Sanepar</w:t>
            </w:r>
          </w:p>
        </w:tc>
        <w:tc>
          <w:tcPr>
            <w:tcW w:w="1248" w:type="dxa"/>
            <w:hideMark/>
          </w:tcPr>
          <w:p w14:paraId="33256F45"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160</w:t>
            </w:r>
          </w:p>
        </w:tc>
        <w:tc>
          <w:tcPr>
            <w:tcW w:w="1249" w:type="dxa"/>
            <w:hideMark/>
          </w:tcPr>
          <w:p w14:paraId="3E2A87CD"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164</w:t>
            </w:r>
          </w:p>
        </w:tc>
        <w:tc>
          <w:tcPr>
            <w:tcW w:w="1249" w:type="dxa"/>
            <w:hideMark/>
          </w:tcPr>
          <w:p w14:paraId="00A8A63B"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167</w:t>
            </w:r>
          </w:p>
        </w:tc>
        <w:tc>
          <w:tcPr>
            <w:tcW w:w="1178" w:type="dxa"/>
            <w:hideMark/>
          </w:tcPr>
          <w:p w14:paraId="60FDE858"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170</w:t>
            </w:r>
          </w:p>
        </w:tc>
        <w:tc>
          <w:tcPr>
            <w:tcW w:w="1093" w:type="dxa"/>
            <w:hideMark/>
          </w:tcPr>
          <w:p w14:paraId="07C759AE"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174</w:t>
            </w:r>
          </w:p>
        </w:tc>
        <w:tc>
          <w:tcPr>
            <w:tcW w:w="990" w:type="dxa"/>
            <w:hideMark/>
          </w:tcPr>
          <w:p w14:paraId="05C821C2" w14:textId="77777777" w:rsidR="006C77DB" w:rsidRPr="00EA348F" w:rsidRDefault="006C77DB" w:rsidP="006C77D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w:t>
            </w:r>
            <w:r w:rsidRPr="00ED1D45">
              <w:rPr>
                <w:color w:val="000000"/>
                <w:sz w:val="22"/>
                <w:lang w:eastAsia="es-CO"/>
              </w:rPr>
              <w:t>74</w:t>
            </w:r>
          </w:p>
        </w:tc>
      </w:tr>
      <w:tr w:rsidR="006C77DB" w:rsidRPr="006C77DB" w14:paraId="4E600C1F" w14:textId="77777777" w:rsidTr="00EA34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dxa"/>
            <w:hideMark/>
          </w:tcPr>
          <w:p w14:paraId="18FABB35" w14:textId="77777777" w:rsidR="006C77DB" w:rsidRPr="00EA348F" w:rsidRDefault="006C77DB" w:rsidP="006C77DB">
            <w:pPr>
              <w:spacing w:before="0" w:beforeAutospacing="0" w:after="0" w:afterAutospacing="0" w:line="240" w:lineRule="auto"/>
              <w:ind w:firstLine="0"/>
              <w:jc w:val="left"/>
              <w:rPr>
                <w:color w:val="000000"/>
                <w:sz w:val="22"/>
                <w:lang w:eastAsia="es-CO"/>
              </w:rPr>
            </w:pPr>
            <w:r w:rsidRPr="00272793">
              <w:rPr>
                <w:color w:val="000000"/>
                <w:sz w:val="22"/>
                <w:lang w:eastAsia="es-CO"/>
              </w:rPr>
              <w:t>Sanesul</w:t>
            </w:r>
          </w:p>
        </w:tc>
        <w:tc>
          <w:tcPr>
            <w:tcW w:w="1248" w:type="dxa"/>
            <w:hideMark/>
          </w:tcPr>
          <w:p w14:paraId="65ECA676"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32</w:t>
            </w:r>
          </w:p>
        </w:tc>
        <w:tc>
          <w:tcPr>
            <w:tcW w:w="1249" w:type="dxa"/>
            <w:hideMark/>
          </w:tcPr>
          <w:p w14:paraId="42BADE46"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34</w:t>
            </w:r>
          </w:p>
        </w:tc>
        <w:tc>
          <w:tcPr>
            <w:tcW w:w="1249" w:type="dxa"/>
            <w:hideMark/>
          </w:tcPr>
          <w:p w14:paraId="15EE025E"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37</w:t>
            </w:r>
          </w:p>
        </w:tc>
        <w:tc>
          <w:tcPr>
            <w:tcW w:w="1178" w:type="dxa"/>
            <w:hideMark/>
          </w:tcPr>
          <w:p w14:paraId="66DD88F1"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38</w:t>
            </w:r>
          </w:p>
        </w:tc>
        <w:tc>
          <w:tcPr>
            <w:tcW w:w="1093" w:type="dxa"/>
            <w:hideMark/>
          </w:tcPr>
          <w:p w14:paraId="5BDB799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40</w:t>
            </w:r>
          </w:p>
        </w:tc>
        <w:tc>
          <w:tcPr>
            <w:tcW w:w="990" w:type="dxa"/>
            <w:hideMark/>
          </w:tcPr>
          <w:p w14:paraId="0DD563BD" w14:textId="77777777" w:rsidR="006C77DB" w:rsidRPr="00EA348F" w:rsidRDefault="006C77DB" w:rsidP="006C77D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41</w:t>
            </w:r>
          </w:p>
        </w:tc>
      </w:tr>
    </w:tbl>
    <w:p w14:paraId="5019B7EA" w14:textId="589F6955" w:rsidR="0028421F" w:rsidRPr="006256EE" w:rsidRDefault="00126253" w:rsidP="00EA348F">
      <w:pPr>
        <w:pStyle w:val="Descripcin"/>
        <w:spacing w:before="0" w:beforeAutospacing="0"/>
        <w:jc w:val="left"/>
      </w:pPr>
      <w:r w:rsidRPr="00042F25">
        <w:rPr>
          <w:sz w:val="20"/>
        </w:rPr>
        <w:t>Fonte: SNIS 2015. Elaborado por: GO Associados</w:t>
      </w:r>
    </w:p>
    <w:p w14:paraId="0BE9F733" w14:textId="4E554583" w:rsidR="00F4306B" w:rsidRPr="00042F25" w:rsidRDefault="00F4306B" w:rsidP="00C71C89">
      <w:pPr>
        <w:pStyle w:val="Ttulo2"/>
        <w:ind w:left="1427"/>
      </w:pPr>
      <w:bookmarkStart w:id="10" w:name="_Toc493094920"/>
      <w:r w:rsidRPr="00042F25">
        <w:t>Tarifa média praticada</w:t>
      </w:r>
      <w:bookmarkEnd w:id="10"/>
    </w:p>
    <w:p w14:paraId="29BD0DD6" w14:textId="6E9828EA" w:rsidR="00F4306B" w:rsidRPr="00042F25" w:rsidRDefault="00E316E4" w:rsidP="00F4306B">
      <w:r w:rsidRPr="00042F25">
        <w:t>A tarifa média praticada (IN004) pelas empresas</w:t>
      </w:r>
      <w:r w:rsidR="00BF3282" w:rsidRPr="00042F25">
        <w:t>, expressa em R$/m</w:t>
      </w:r>
      <w:r w:rsidR="00BF3282" w:rsidRPr="00042F25">
        <w:rPr>
          <w:vertAlign w:val="superscript"/>
        </w:rPr>
        <w:t>3</w:t>
      </w:r>
      <w:r w:rsidR="00BF3282" w:rsidRPr="00042F25">
        <w:t>,</w:t>
      </w:r>
      <w:r w:rsidRPr="00042F25">
        <w:t xml:space="preserve"> usa o volume de água faturado </w:t>
      </w:r>
      <w:r w:rsidR="00F4306B" w:rsidRPr="00042F25">
        <w:t>(AG0</w:t>
      </w:r>
      <w:r w:rsidRPr="00042F25">
        <w:t>11</w:t>
      </w:r>
      <w:r w:rsidR="00F4306B" w:rsidRPr="00042F25">
        <w:t xml:space="preserve">), </w:t>
      </w:r>
      <w:r w:rsidRPr="00042F25">
        <w:t>o volume de esgotos faturado</w:t>
      </w:r>
      <w:r w:rsidR="00F4306B" w:rsidRPr="00042F25">
        <w:t xml:space="preserve"> (ES00</w:t>
      </w:r>
      <w:r w:rsidRPr="00042F25">
        <w:t>7</w:t>
      </w:r>
      <w:r w:rsidR="00F4306B" w:rsidRPr="00042F25">
        <w:t xml:space="preserve">) e a </w:t>
      </w:r>
      <w:r w:rsidRPr="00042F25">
        <w:t>receita operacional direta de água e esgoto (FN001</w:t>
      </w:r>
      <w:r w:rsidR="00F4306B" w:rsidRPr="00042F25">
        <w:t xml:space="preserve">) para o seu cálculo: </w:t>
      </w:r>
    </w:p>
    <w:p w14:paraId="54C887F5" w14:textId="6F67DB76" w:rsidR="00F4306B" w:rsidRPr="00042F25" w:rsidRDefault="00F4306B" w:rsidP="00114CDA">
      <w:pPr>
        <w:jc w:val="center"/>
      </w:pPr>
      <m:oMathPara>
        <m:oMath>
          <m:r>
            <w:rPr>
              <w:rFonts w:ascii="Cambria Math" w:hAnsi="Cambria Math"/>
            </w:rPr>
            <w:lastRenderedPageBreak/>
            <m:t xml:space="preserve">IN004= </m:t>
          </m:r>
          <m:f>
            <m:fPr>
              <m:ctrlPr>
                <w:rPr>
                  <w:rFonts w:ascii="Cambria Math" w:hAnsi="Cambria Math"/>
                  <w:i/>
                </w:rPr>
              </m:ctrlPr>
            </m:fPr>
            <m:num>
              <m:r>
                <w:rPr>
                  <w:rFonts w:ascii="Cambria Math" w:hAnsi="Cambria Math"/>
                </w:rPr>
                <m:t>FN001</m:t>
              </m:r>
            </m:num>
            <m:den>
              <m:r>
                <w:rPr>
                  <w:rFonts w:ascii="Cambria Math" w:hAnsi="Cambria Math"/>
                </w:rPr>
                <m:t>AG011+ES007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oMath>
      </m:oMathPara>
    </w:p>
    <w:p w14:paraId="2C14AB34" w14:textId="1E625318" w:rsidR="00F4306B" w:rsidRPr="00042F25" w:rsidRDefault="0015090B" w:rsidP="0015090B">
      <w:r w:rsidRPr="00042F25">
        <w:t>Esta tarifa deve contribuir para a geração de receita da empresa sem onerar os clientes</w:t>
      </w:r>
      <w:r w:rsidR="00061933">
        <w:t>,</w:t>
      </w:r>
      <w:r w:rsidRPr="00042F25">
        <w:t xml:space="preserve"> para garantir o investimento em melhoria e operação regular. </w:t>
      </w:r>
      <w:r w:rsidR="00F4306B" w:rsidRPr="00042F25">
        <w:t>A evolução deste índice de 2010 a 2015 nas Companhias Es</w:t>
      </w:r>
      <w:r w:rsidRPr="00042F25">
        <w:t xml:space="preserve">taduais de Saneamento Básico </w:t>
      </w:r>
      <w:r w:rsidR="00F4306B" w:rsidRPr="00042F25">
        <w:t>mostra</w:t>
      </w:r>
      <w:r w:rsidRPr="00042F25">
        <w:t xml:space="preserve"> que </w:t>
      </w:r>
      <w:r w:rsidRPr="00EA348F">
        <w:t xml:space="preserve">a </w:t>
      </w:r>
      <w:r w:rsidR="00690C66" w:rsidRPr="00EA348F">
        <w:t>CORSAN</w:t>
      </w:r>
      <w:r w:rsidRPr="00EA348F">
        <w:t xml:space="preserve"> possui a tarifa </w:t>
      </w:r>
      <w:r w:rsidR="00042F25" w:rsidRPr="00EA348F">
        <w:t xml:space="preserve">média </w:t>
      </w:r>
      <w:r w:rsidRPr="00EA348F">
        <w:t>mais alta</w:t>
      </w:r>
      <w:r w:rsidR="00A93A3C" w:rsidRPr="00EA348F">
        <w:t xml:space="preserve"> (R$ 5,19/m</w:t>
      </w:r>
      <w:r w:rsidR="00A93A3C" w:rsidRPr="00EA348F">
        <w:rPr>
          <w:vertAlign w:val="superscript"/>
        </w:rPr>
        <w:t>3</w:t>
      </w:r>
      <w:r w:rsidR="00A93A3C" w:rsidRPr="00EA348F">
        <w:t xml:space="preserve"> em 2015)</w:t>
      </w:r>
      <w:r w:rsidR="00EE1033" w:rsidRPr="00EA348F">
        <w:t>, enquanto a</w:t>
      </w:r>
      <w:r w:rsidR="00061933">
        <w:t xml:space="preserve"> COSANPA p</w:t>
      </w:r>
      <w:r w:rsidR="003571F0" w:rsidRPr="00EA348F">
        <w:t>ossui a tarifa mais baixa</w:t>
      </w:r>
      <w:r w:rsidR="00A93A3C" w:rsidRPr="00EA348F">
        <w:t xml:space="preserve"> (R$ 1,1</w:t>
      </w:r>
      <w:r w:rsidR="00061933">
        <w:t>6</w:t>
      </w:r>
      <w:r w:rsidR="00A93A3C" w:rsidRPr="00EA348F">
        <w:t>/m</w:t>
      </w:r>
      <w:r w:rsidR="00A93A3C" w:rsidRPr="00EA348F">
        <w:rPr>
          <w:vertAlign w:val="superscript"/>
        </w:rPr>
        <w:t>3</w:t>
      </w:r>
      <w:r w:rsidR="00A93A3C" w:rsidRPr="00EA348F">
        <w:t xml:space="preserve"> em 2015)</w:t>
      </w:r>
      <w:r w:rsidRPr="00272793">
        <w:t>.</w:t>
      </w:r>
    </w:p>
    <w:p w14:paraId="33620C89" w14:textId="3117ABA8" w:rsidR="000C1E89" w:rsidRDefault="000C1E89" w:rsidP="000C1E89">
      <w:pPr>
        <w:pStyle w:val="Descripcin"/>
      </w:pPr>
      <w:bookmarkStart w:id="11" w:name="_Toc493222469"/>
      <w:r w:rsidRPr="00042F25">
        <w:t xml:space="preserve">Quadro </w:t>
      </w:r>
      <w:fldSimple w:instr=" SEQ Quadro \* ARABIC ">
        <w:r w:rsidR="00B64D1C" w:rsidRPr="00042F25">
          <w:rPr>
            <w:noProof/>
          </w:rPr>
          <w:t>5</w:t>
        </w:r>
      </w:fldSimple>
      <w:r w:rsidRPr="00042F25">
        <w:t xml:space="preserve"> – Tarifa Média Praticada (IN004)</w:t>
      </w:r>
      <w:bookmarkEnd w:id="11"/>
    </w:p>
    <w:tbl>
      <w:tblPr>
        <w:tblStyle w:val="Tabladecuadrcula4-nfasis11"/>
        <w:tblW w:w="8494" w:type="dxa"/>
        <w:jc w:val="center"/>
        <w:tblLayout w:type="fixed"/>
        <w:tblLook w:val="04A0" w:firstRow="1" w:lastRow="0" w:firstColumn="1" w:lastColumn="0" w:noHBand="0" w:noVBand="1"/>
      </w:tblPr>
      <w:tblGrid>
        <w:gridCol w:w="1487"/>
        <w:gridCol w:w="1248"/>
        <w:gridCol w:w="1249"/>
        <w:gridCol w:w="1249"/>
        <w:gridCol w:w="1178"/>
        <w:gridCol w:w="1093"/>
        <w:gridCol w:w="990"/>
      </w:tblGrid>
      <w:tr w:rsidR="00061933" w:rsidRPr="00061933" w14:paraId="77F6109F" w14:textId="77777777" w:rsidTr="00EA348F">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487" w:type="dxa"/>
          </w:tcPr>
          <w:p w14:paraId="03022D2F"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FFFFFF"/>
                <w:sz w:val="22"/>
                <w:lang w:eastAsia="en-US"/>
              </w:rPr>
            </w:pPr>
            <w:r w:rsidRPr="00EA348F">
              <w:rPr>
                <w:rFonts w:eastAsiaTheme="minorHAnsi"/>
                <w:color w:val="FFFFFF"/>
                <w:sz w:val="22"/>
                <w:lang w:eastAsia="en-US"/>
              </w:rPr>
              <w:t>Empresa</w:t>
            </w:r>
          </w:p>
        </w:tc>
        <w:tc>
          <w:tcPr>
            <w:tcW w:w="1248" w:type="dxa"/>
          </w:tcPr>
          <w:p w14:paraId="058C0725" w14:textId="77777777" w:rsidR="00061933" w:rsidRPr="00EA348F" w:rsidRDefault="00061933">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2010</w:t>
            </w:r>
          </w:p>
        </w:tc>
        <w:tc>
          <w:tcPr>
            <w:tcW w:w="1249" w:type="dxa"/>
          </w:tcPr>
          <w:p w14:paraId="67FACA38" w14:textId="77777777" w:rsidR="00061933" w:rsidRPr="00EA348F" w:rsidRDefault="00061933">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2011</w:t>
            </w:r>
          </w:p>
        </w:tc>
        <w:tc>
          <w:tcPr>
            <w:tcW w:w="1249" w:type="dxa"/>
          </w:tcPr>
          <w:p w14:paraId="1B2CA486" w14:textId="77777777" w:rsidR="00061933" w:rsidRPr="00EA348F" w:rsidRDefault="00061933">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2012</w:t>
            </w:r>
          </w:p>
        </w:tc>
        <w:tc>
          <w:tcPr>
            <w:tcW w:w="1178" w:type="dxa"/>
          </w:tcPr>
          <w:p w14:paraId="1AB0593C" w14:textId="77777777" w:rsidR="00061933" w:rsidRPr="00EA348F" w:rsidRDefault="00061933">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2013</w:t>
            </w:r>
          </w:p>
        </w:tc>
        <w:tc>
          <w:tcPr>
            <w:tcW w:w="1093" w:type="dxa"/>
          </w:tcPr>
          <w:p w14:paraId="7A5C213E" w14:textId="77777777" w:rsidR="00061933" w:rsidRPr="00EA348F" w:rsidRDefault="00061933">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2014</w:t>
            </w:r>
          </w:p>
        </w:tc>
        <w:tc>
          <w:tcPr>
            <w:tcW w:w="990" w:type="dxa"/>
          </w:tcPr>
          <w:p w14:paraId="3B744E8B" w14:textId="77777777" w:rsidR="00061933" w:rsidRPr="00EA348F" w:rsidRDefault="00061933">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2015</w:t>
            </w:r>
          </w:p>
        </w:tc>
      </w:tr>
      <w:tr w:rsidR="00061933" w:rsidRPr="00061933" w14:paraId="70FEC5CF"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5E893B5"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Agespisa</w:t>
            </w:r>
          </w:p>
        </w:tc>
        <w:tc>
          <w:tcPr>
            <w:tcW w:w="1248" w:type="dxa"/>
          </w:tcPr>
          <w:p w14:paraId="3677489E"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R$ 2,43</w:t>
            </w:r>
          </w:p>
        </w:tc>
        <w:tc>
          <w:tcPr>
            <w:tcW w:w="1249" w:type="dxa"/>
          </w:tcPr>
          <w:p w14:paraId="1929A247"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R$ 2,55</w:t>
            </w:r>
          </w:p>
        </w:tc>
        <w:tc>
          <w:tcPr>
            <w:tcW w:w="1249" w:type="dxa"/>
          </w:tcPr>
          <w:p w14:paraId="6D433F3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R$ 2,67</w:t>
            </w:r>
          </w:p>
        </w:tc>
        <w:tc>
          <w:tcPr>
            <w:tcW w:w="1178" w:type="dxa"/>
          </w:tcPr>
          <w:p w14:paraId="47DC9DA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R$ 2,69</w:t>
            </w:r>
          </w:p>
        </w:tc>
        <w:tc>
          <w:tcPr>
            <w:tcW w:w="1093" w:type="dxa"/>
          </w:tcPr>
          <w:p w14:paraId="759A1CB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R$ 2,59</w:t>
            </w:r>
          </w:p>
        </w:tc>
        <w:tc>
          <w:tcPr>
            <w:tcW w:w="990" w:type="dxa"/>
          </w:tcPr>
          <w:p w14:paraId="344C5FAA"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R$ 2,69</w:t>
            </w:r>
          </w:p>
        </w:tc>
      </w:tr>
      <w:tr w:rsidR="00061933" w:rsidRPr="00061933" w14:paraId="0121CCE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8F79A38"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Caema</w:t>
            </w:r>
          </w:p>
        </w:tc>
        <w:tc>
          <w:tcPr>
            <w:tcW w:w="1248" w:type="dxa"/>
          </w:tcPr>
          <w:p w14:paraId="4DE458A5"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R$ 1,53</w:t>
            </w:r>
          </w:p>
        </w:tc>
        <w:tc>
          <w:tcPr>
            <w:tcW w:w="1249" w:type="dxa"/>
          </w:tcPr>
          <w:p w14:paraId="4C2986FC"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R$ 1,62</w:t>
            </w:r>
          </w:p>
        </w:tc>
        <w:tc>
          <w:tcPr>
            <w:tcW w:w="1249" w:type="dxa"/>
          </w:tcPr>
          <w:p w14:paraId="702C519A"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R$ 1,44</w:t>
            </w:r>
          </w:p>
        </w:tc>
        <w:tc>
          <w:tcPr>
            <w:tcW w:w="1178" w:type="dxa"/>
          </w:tcPr>
          <w:p w14:paraId="6F437BE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R$ 1,83</w:t>
            </w:r>
          </w:p>
        </w:tc>
        <w:tc>
          <w:tcPr>
            <w:tcW w:w="1093" w:type="dxa"/>
          </w:tcPr>
          <w:p w14:paraId="0AF5299C"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R$ 2,62</w:t>
            </w:r>
          </w:p>
        </w:tc>
        <w:tc>
          <w:tcPr>
            <w:tcW w:w="990" w:type="dxa"/>
          </w:tcPr>
          <w:p w14:paraId="7A49ED4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R$ 2,76</w:t>
            </w:r>
          </w:p>
        </w:tc>
      </w:tr>
      <w:tr w:rsidR="00061933" w:rsidRPr="00061933" w14:paraId="5D504F27"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8BEDEFD"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w:t>
            </w:r>
          </w:p>
        </w:tc>
        <w:tc>
          <w:tcPr>
            <w:tcW w:w="1248" w:type="dxa"/>
          </w:tcPr>
          <w:p w14:paraId="1D7D494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R$ 2,01</w:t>
            </w:r>
          </w:p>
        </w:tc>
        <w:tc>
          <w:tcPr>
            <w:tcW w:w="1249" w:type="dxa"/>
          </w:tcPr>
          <w:p w14:paraId="6A721FEB"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R$ 2,02</w:t>
            </w:r>
          </w:p>
        </w:tc>
        <w:tc>
          <w:tcPr>
            <w:tcW w:w="1249" w:type="dxa"/>
          </w:tcPr>
          <w:p w14:paraId="373F761E"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R$ 2,27</w:t>
            </w:r>
          </w:p>
        </w:tc>
        <w:tc>
          <w:tcPr>
            <w:tcW w:w="1178" w:type="dxa"/>
          </w:tcPr>
          <w:p w14:paraId="18A322BC"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R$ 2,14</w:t>
            </w:r>
          </w:p>
        </w:tc>
        <w:tc>
          <w:tcPr>
            <w:tcW w:w="1093" w:type="dxa"/>
          </w:tcPr>
          <w:p w14:paraId="457844DD"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R$ 1,99</w:t>
            </w:r>
          </w:p>
        </w:tc>
        <w:tc>
          <w:tcPr>
            <w:tcW w:w="990" w:type="dxa"/>
          </w:tcPr>
          <w:p w14:paraId="31F69F7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R$ 2,34</w:t>
            </w:r>
          </w:p>
        </w:tc>
      </w:tr>
      <w:tr w:rsidR="00061933" w:rsidRPr="00061933" w14:paraId="436FA6DD"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CF96A79"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Caerd</w:t>
            </w:r>
          </w:p>
        </w:tc>
        <w:tc>
          <w:tcPr>
            <w:tcW w:w="1248" w:type="dxa"/>
          </w:tcPr>
          <w:p w14:paraId="3776A5F5"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R$ 3,66</w:t>
            </w:r>
          </w:p>
        </w:tc>
        <w:tc>
          <w:tcPr>
            <w:tcW w:w="1249" w:type="dxa"/>
          </w:tcPr>
          <w:p w14:paraId="5DC98789"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R$ 3,76</w:t>
            </w:r>
          </w:p>
        </w:tc>
        <w:tc>
          <w:tcPr>
            <w:tcW w:w="1249" w:type="dxa"/>
          </w:tcPr>
          <w:p w14:paraId="17618351"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R$ 3,73</w:t>
            </w:r>
          </w:p>
        </w:tc>
        <w:tc>
          <w:tcPr>
            <w:tcW w:w="1178" w:type="dxa"/>
          </w:tcPr>
          <w:p w14:paraId="12F76729"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R$ 4,03</w:t>
            </w:r>
          </w:p>
        </w:tc>
        <w:tc>
          <w:tcPr>
            <w:tcW w:w="1093" w:type="dxa"/>
          </w:tcPr>
          <w:p w14:paraId="383D543B"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R$ 4,51</w:t>
            </w:r>
          </w:p>
        </w:tc>
        <w:tc>
          <w:tcPr>
            <w:tcW w:w="990" w:type="dxa"/>
          </w:tcPr>
          <w:p w14:paraId="23D5281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R$ 4,10</w:t>
            </w:r>
          </w:p>
        </w:tc>
      </w:tr>
      <w:tr w:rsidR="00061933" w:rsidRPr="00061933" w14:paraId="78D8F49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D614214"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Caern</w:t>
            </w:r>
          </w:p>
        </w:tc>
        <w:tc>
          <w:tcPr>
            <w:tcW w:w="1248" w:type="dxa"/>
          </w:tcPr>
          <w:p w14:paraId="0730D24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R$ 2,32</w:t>
            </w:r>
          </w:p>
        </w:tc>
        <w:tc>
          <w:tcPr>
            <w:tcW w:w="1249" w:type="dxa"/>
          </w:tcPr>
          <w:p w14:paraId="76FFE5E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R$ 2,35</w:t>
            </w:r>
          </w:p>
        </w:tc>
        <w:tc>
          <w:tcPr>
            <w:tcW w:w="1249" w:type="dxa"/>
          </w:tcPr>
          <w:p w14:paraId="5223AF4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R$ 2,63</w:t>
            </w:r>
          </w:p>
        </w:tc>
        <w:tc>
          <w:tcPr>
            <w:tcW w:w="1178" w:type="dxa"/>
          </w:tcPr>
          <w:p w14:paraId="3E08010C"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R$ 2,62</w:t>
            </w:r>
          </w:p>
        </w:tc>
        <w:tc>
          <w:tcPr>
            <w:tcW w:w="1093" w:type="dxa"/>
          </w:tcPr>
          <w:p w14:paraId="541D036C"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R$ 2,94</w:t>
            </w:r>
          </w:p>
        </w:tc>
        <w:tc>
          <w:tcPr>
            <w:tcW w:w="990" w:type="dxa"/>
          </w:tcPr>
          <w:p w14:paraId="78192CC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R$ 3,42</w:t>
            </w:r>
          </w:p>
        </w:tc>
      </w:tr>
      <w:tr w:rsidR="00061933" w:rsidRPr="00061933" w14:paraId="3289CEE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62C1435"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Caesa</w:t>
            </w:r>
          </w:p>
        </w:tc>
        <w:tc>
          <w:tcPr>
            <w:tcW w:w="1248" w:type="dxa"/>
          </w:tcPr>
          <w:p w14:paraId="540FF684"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R$ 1,85</w:t>
            </w:r>
          </w:p>
        </w:tc>
        <w:tc>
          <w:tcPr>
            <w:tcW w:w="1249" w:type="dxa"/>
          </w:tcPr>
          <w:p w14:paraId="037107D0"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R$ 1,88</w:t>
            </w:r>
          </w:p>
        </w:tc>
        <w:tc>
          <w:tcPr>
            <w:tcW w:w="1249" w:type="dxa"/>
          </w:tcPr>
          <w:p w14:paraId="22457295"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R$ 1,90</w:t>
            </w:r>
          </w:p>
        </w:tc>
        <w:tc>
          <w:tcPr>
            <w:tcW w:w="1178" w:type="dxa"/>
          </w:tcPr>
          <w:p w14:paraId="5D49848F"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R$ 2,42</w:t>
            </w:r>
          </w:p>
        </w:tc>
        <w:tc>
          <w:tcPr>
            <w:tcW w:w="1093" w:type="dxa"/>
          </w:tcPr>
          <w:p w14:paraId="686F5842"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R$ 2,34</w:t>
            </w:r>
          </w:p>
        </w:tc>
        <w:tc>
          <w:tcPr>
            <w:tcW w:w="990" w:type="dxa"/>
          </w:tcPr>
          <w:p w14:paraId="1299D4EA"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R$ 2,33</w:t>
            </w:r>
          </w:p>
        </w:tc>
      </w:tr>
      <w:tr w:rsidR="00061933" w:rsidRPr="00061933" w14:paraId="14D859D2"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BD44398"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Caesb</w:t>
            </w:r>
          </w:p>
        </w:tc>
        <w:tc>
          <w:tcPr>
            <w:tcW w:w="1248" w:type="dxa"/>
          </w:tcPr>
          <w:p w14:paraId="493214D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R$ 2,78</w:t>
            </w:r>
          </w:p>
        </w:tc>
        <w:tc>
          <w:tcPr>
            <w:tcW w:w="1249" w:type="dxa"/>
          </w:tcPr>
          <w:p w14:paraId="2155F78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R$ 3,00</w:t>
            </w:r>
          </w:p>
        </w:tc>
        <w:tc>
          <w:tcPr>
            <w:tcW w:w="1249" w:type="dxa"/>
          </w:tcPr>
          <w:p w14:paraId="7A06198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R$ 3,44</w:t>
            </w:r>
          </w:p>
        </w:tc>
        <w:tc>
          <w:tcPr>
            <w:tcW w:w="1178" w:type="dxa"/>
          </w:tcPr>
          <w:p w14:paraId="570E83A5"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R$ 3,73</w:t>
            </w:r>
          </w:p>
        </w:tc>
        <w:tc>
          <w:tcPr>
            <w:tcW w:w="1093" w:type="dxa"/>
          </w:tcPr>
          <w:p w14:paraId="62DD39EA"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R$ 3,95</w:t>
            </w:r>
          </w:p>
        </w:tc>
        <w:tc>
          <w:tcPr>
            <w:tcW w:w="990" w:type="dxa"/>
          </w:tcPr>
          <w:p w14:paraId="5C03B23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R$ 4,37</w:t>
            </w:r>
          </w:p>
        </w:tc>
      </w:tr>
      <w:tr w:rsidR="00061933" w:rsidRPr="00061933" w14:paraId="2639EA1C"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AFA9A77"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Cagece</w:t>
            </w:r>
          </w:p>
        </w:tc>
        <w:tc>
          <w:tcPr>
            <w:tcW w:w="1248" w:type="dxa"/>
          </w:tcPr>
          <w:p w14:paraId="0B04A485"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R$ 1,76</w:t>
            </w:r>
          </w:p>
        </w:tc>
        <w:tc>
          <w:tcPr>
            <w:tcW w:w="1249" w:type="dxa"/>
          </w:tcPr>
          <w:p w14:paraId="4C283B43"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R$ 1,91</w:t>
            </w:r>
          </w:p>
        </w:tc>
        <w:tc>
          <w:tcPr>
            <w:tcW w:w="1249" w:type="dxa"/>
          </w:tcPr>
          <w:p w14:paraId="3E7654FA"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R$ 2,08</w:t>
            </w:r>
          </w:p>
        </w:tc>
        <w:tc>
          <w:tcPr>
            <w:tcW w:w="1178" w:type="dxa"/>
          </w:tcPr>
          <w:p w14:paraId="5CA6DA47"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R$ 2,18</w:t>
            </w:r>
          </w:p>
        </w:tc>
        <w:tc>
          <w:tcPr>
            <w:tcW w:w="1093" w:type="dxa"/>
          </w:tcPr>
          <w:p w14:paraId="0810BF5F"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R$ 2,35</w:t>
            </w:r>
          </w:p>
        </w:tc>
        <w:tc>
          <w:tcPr>
            <w:tcW w:w="990" w:type="dxa"/>
          </w:tcPr>
          <w:p w14:paraId="058A505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R$ 2,41</w:t>
            </w:r>
          </w:p>
        </w:tc>
      </w:tr>
      <w:tr w:rsidR="00061933" w:rsidRPr="00061933" w14:paraId="43D32D84"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6D70459"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Cagepa</w:t>
            </w:r>
          </w:p>
        </w:tc>
        <w:tc>
          <w:tcPr>
            <w:tcW w:w="1248" w:type="dxa"/>
          </w:tcPr>
          <w:p w14:paraId="51CE8B72"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R$ 2,22</w:t>
            </w:r>
          </w:p>
        </w:tc>
        <w:tc>
          <w:tcPr>
            <w:tcW w:w="1249" w:type="dxa"/>
          </w:tcPr>
          <w:p w14:paraId="7BC86855"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R$ 2,36</w:t>
            </w:r>
          </w:p>
        </w:tc>
        <w:tc>
          <w:tcPr>
            <w:tcW w:w="1249" w:type="dxa"/>
          </w:tcPr>
          <w:p w14:paraId="52576F80"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R$ 2,59</w:t>
            </w:r>
          </w:p>
        </w:tc>
        <w:tc>
          <w:tcPr>
            <w:tcW w:w="1178" w:type="dxa"/>
          </w:tcPr>
          <w:p w14:paraId="7F5D6D9E"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R$ 2,77</w:t>
            </w:r>
          </w:p>
        </w:tc>
        <w:tc>
          <w:tcPr>
            <w:tcW w:w="1093" w:type="dxa"/>
          </w:tcPr>
          <w:p w14:paraId="3E434AB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R$ 2,89</w:t>
            </w:r>
          </w:p>
        </w:tc>
        <w:tc>
          <w:tcPr>
            <w:tcW w:w="990" w:type="dxa"/>
          </w:tcPr>
          <w:p w14:paraId="36966CA8"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R$ 3,10</w:t>
            </w:r>
          </w:p>
        </w:tc>
      </w:tr>
      <w:tr w:rsidR="00061933" w:rsidRPr="00061933" w14:paraId="776F2649"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785FB8B"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Casal</w:t>
            </w:r>
          </w:p>
        </w:tc>
        <w:tc>
          <w:tcPr>
            <w:tcW w:w="1248" w:type="dxa"/>
          </w:tcPr>
          <w:p w14:paraId="0A0FCE21"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R$ 2,65</w:t>
            </w:r>
          </w:p>
        </w:tc>
        <w:tc>
          <w:tcPr>
            <w:tcW w:w="1249" w:type="dxa"/>
          </w:tcPr>
          <w:p w14:paraId="1B63782B"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R$ 2,82</w:t>
            </w:r>
          </w:p>
        </w:tc>
        <w:tc>
          <w:tcPr>
            <w:tcW w:w="1249" w:type="dxa"/>
          </w:tcPr>
          <w:p w14:paraId="5205DB98"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R$ 2,11</w:t>
            </w:r>
          </w:p>
        </w:tc>
        <w:tc>
          <w:tcPr>
            <w:tcW w:w="1178" w:type="dxa"/>
          </w:tcPr>
          <w:p w14:paraId="45C6251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R$ 3,71</w:t>
            </w:r>
          </w:p>
        </w:tc>
        <w:tc>
          <w:tcPr>
            <w:tcW w:w="1093" w:type="dxa"/>
          </w:tcPr>
          <w:p w14:paraId="5D8AD400"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R$ 3,07</w:t>
            </w:r>
          </w:p>
        </w:tc>
        <w:tc>
          <w:tcPr>
            <w:tcW w:w="990" w:type="dxa"/>
          </w:tcPr>
          <w:p w14:paraId="31F3F79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R$ 3,78</w:t>
            </w:r>
          </w:p>
        </w:tc>
      </w:tr>
      <w:tr w:rsidR="00061933" w:rsidRPr="00061933" w14:paraId="193C155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E1CC011"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Casan</w:t>
            </w:r>
          </w:p>
        </w:tc>
        <w:tc>
          <w:tcPr>
            <w:tcW w:w="1248" w:type="dxa"/>
          </w:tcPr>
          <w:p w14:paraId="30014EA1"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R$ 2,83</w:t>
            </w:r>
          </w:p>
        </w:tc>
        <w:tc>
          <w:tcPr>
            <w:tcW w:w="1249" w:type="dxa"/>
          </w:tcPr>
          <w:p w14:paraId="3D32331B"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R$ 3,09</w:t>
            </w:r>
          </w:p>
        </w:tc>
        <w:tc>
          <w:tcPr>
            <w:tcW w:w="1249" w:type="dxa"/>
          </w:tcPr>
          <w:p w14:paraId="49DF6AA0"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R$ 3,32</w:t>
            </w:r>
          </w:p>
        </w:tc>
        <w:tc>
          <w:tcPr>
            <w:tcW w:w="1178" w:type="dxa"/>
          </w:tcPr>
          <w:p w14:paraId="1B0A517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R$ 3,47</w:t>
            </w:r>
          </w:p>
        </w:tc>
        <w:tc>
          <w:tcPr>
            <w:tcW w:w="1093" w:type="dxa"/>
          </w:tcPr>
          <w:p w14:paraId="75E43E2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R$ 3,74</w:t>
            </w:r>
          </w:p>
        </w:tc>
        <w:tc>
          <w:tcPr>
            <w:tcW w:w="990" w:type="dxa"/>
          </w:tcPr>
          <w:p w14:paraId="5031955E"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R$ 3,96</w:t>
            </w:r>
          </w:p>
        </w:tc>
      </w:tr>
      <w:tr w:rsidR="00061933" w:rsidRPr="00061933" w14:paraId="0B27FBD1"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10B4415"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Cedae</w:t>
            </w:r>
          </w:p>
        </w:tc>
        <w:tc>
          <w:tcPr>
            <w:tcW w:w="1248" w:type="dxa"/>
          </w:tcPr>
          <w:p w14:paraId="183FAA2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R$ 2,97</w:t>
            </w:r>
          </w:p>
        </w:tc>
        <w:tc>
          <w:tcPr>
            <w:tcW w:w="1249" w:type="dxa"/>
          </w:tcPr>
          <w:p w14:paraId="5D70644D"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R$ 2,96</w:t>
            </w:r>
          </w:p>
        </w:tc>
        <w:tc>
          <w:tcPr>
            <w:tcW w:w="1249" w:type="dxa"/>
          </w:tcPr>
          <w:p w14:paraId="3BC4C3A7"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R$ 3,18</w:t>
            </w:r>
          </w:p>
        </w:tc>
        <w:tc>
          <w:tcPr>
            <w:tcW w:w="1178" w:type="dxa"/>
          </w:tcPr>
          <w:p w14:paraId="0692A3C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R$ 3,20</w:t>
            </w:r>
          </w:p>
        </w:tc>
        <w:tc>
          <w:tcPr>
            <w:tcW w:w="1093" w:type="dxa"/>
          </w:tcPr>
          <w:p w14:paraId="42A2C9E9"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R$ 3,74</w:t>
            </w:r>
          </w:p>
        </w:tc>
        <w:tc>
          <w:tcPr>
            <w:tcW w:w="990" w:type="dxa"/>
          </w:tcPr>
          <w:p w14:paraId="7A28D2B2"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R$ 3,72</w:t>
            </w:r>
          </w:p>
        </w:tc>
      </w:tr>
      <w:tr w:rsidR="00061933" w:rsidRPr="00061933" w14:paraId="7941E20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7F42BDD"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Cesan</w:t>
            </w:r>
          </w:p>
        </w:tc>
        <w:tc>
          <w:tcPr>
            <w:tcW w:w="1248" w:type="dxa"/>
          </w:tcPr>
          <w:p w14:paraId="0D4373D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R$ 1,86</w:t>
            </w:r>
          </w:p>
        </w:tc>
        <w:tc>
          <w:tcPr>
            <w:tcW w:w="1249" w:type="dxa"/>
          </w:tcPr>
          <w:p w14:paraId="6FBF9535"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R$ 1,97</w:t>
            </w:r>
          </w:p>
        </w:tc>
        <w:tc>
          <w:tcPr>
            <w:tcW w:w="1249" w:type="dxa"/>
          </w:tcPr>
          <w:p w14:paraId="23CC0280"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R$ 2,18</w:t>
            </w:r>
          </w:p>
        </w:tc>
        <w:tc>
          <w:tcPr>
            <w:tcW w:w="1178" w:type="dxa"/>
          </w:tcPr>
          <w:p w14:paraId="64889FD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R$ 2,36</w:t>
            </w:r>
          </w:p>
        </w:tc>
        <w:tc>
          <w:tcPr>
            <w:tcW w:w="1093" w:type="dxa"/>
          </w:tcPr>
          <w:p w14:paraId="686A10C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R$ 2,62</w:t>
            </w:r>
          </w:p>
        </w:tc>
        <w:tc>
          <w:tcPr>
            <w:tcW w:w="990" w:type="dxa"/>
          </w:tcPr>
          <w:p w14:paraId="4812187A"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R$ 2,78</w:t>
            </w:r>
          </w:p>
        </w:tc>
      </w:tr>
      <w:tr w:rsidR="00061933" w:rsidRPr="00061933" w14:paraId="348B7F5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F88FAFC"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Compesa</w:t>
            </w:r>
          </w:p>
        </w:tc>
        <w:tc>
          <w:tcPr>
            <w:tcW w:w="1248" w:type="dxa"/>
          </w:tcPr>
          <w:p w14:paraId="75118AA8"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R$ 2,33</w:t>
            </w:r>
          </w:p>
        </w:tc>
        <w:tc>
          <w:tcPr>
            <w:tcW w:w="1249" w:type="dxa"/>
          </w:tcPr>
          <w:p w14:paraId="3D014BA3"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R$ 2,45</w:t>
            </w:r>
          </w:p>
        </w:tc>
        <w:tc>
          <w:tcPr>
            <w:tcW w:w="1249" w:type="dxa"/>
          </w:tcPr>
          <w:p w14:paraId="75BF88C0"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R$ 2,68</w:t>
            </w:r>
          </w:p>
        </w:tc>
        <w:tc>
          <w:tcPr>
            <w:tcW w:w="1178" w:type="dxa"/>
          </w:tcPr>
          <w:p w14:paraId="4FEE141A"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R$ 2,77</w:t>
            </w:r>
          </w:p>
        </w:tc>
        <w:tc>
          <w:tcPr>
            <w:tcW w:w="1093" w:type="dxa"/>
          </w:tcPr>
          <w:p w14:paraId="7B860814"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R$ 2,88</w:t>
            </w:r>
          </w:p>
        </w:tc>
        <w:tc>
          <w:tcPr>
            <w:tcW w:w="990" w:type="dxa"/>
          </w:tcPr>
          <w:p w14:paraId="5FF0D0EA"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R$ 3,16</w:t>
            </w:r>
          </w:p>
        </w:tc>
      </w:tr>
      <w:tr w:rsidR="00061933" w:rsidRPr="00061933" w14:paraId="5BA1063B"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6A120BE"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Copasa</w:t>
            </w:r>
          </w:p>
        </w:tc>
        <w:tc>
          <w:tcPr>
            <w:tcW w:w="1248" w:type="dxa"/>
          </w:tcPr>
          <w:p w14:paraId="4E7207B1"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R$ 2,50</w:t>
            </w:r>
          </w:p>
        </w:tc>
        <w:tc>
          <w:tcPr>
            <w:tcW w:w="1249" w:type="dxa"/>
          </w:tcPr>
          <w:p w14:paraId="079DF602"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R$ 2,63</w:t>
            </w:r>
          </w:p>
        </w:tc>
        <w:tc>
          <w:tcPr>
            <w:tcW w:w="1249" w:type="dxa"/>
          </w:tcPr>
          <w:p w14:paraId="51F362F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R$ 2,80</w:t>
            </w:r>
          </w:p>
        </w:tc>
        <w:tc>
          <w:tcPr>
            <w:tcW w:w="1178" w:type="dxa"/>
          </w:tcPr>
          <w:p w14:paraId="0129BA4A"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R$ 2,93</w:t>
            </w:r>
          </w:p>
        </w:tc>
        <w:tc>
          <w:tcPr>
            <w:tcW w:w="1093" w:type="dxa"/>
          </w:tcPr>
          <w:p w14:paraId="38DC60B5"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R$ 3,05</w:t>
            </w:r>
          </w:p>
        </w:tc>
        <w:tc>
          <w:tcPr>
            <w:tcW w:w="990" w:type="dxa"/>
          </w:tcPr>
          <w:p w14:paraId="7976BF97"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R$ 3,26</w:t>
            </w:r>
          </w:p>
        </w:tc>
      </w:tr>
      <w:tr w:rsidR="00061933" w:rsidRPr="00061933" w14:paraId="6D18D95D"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B78E15F"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Corsan</w:t>
            </w:r>
          </w:p>
        </w:tc>
        <w:tc>
          <w:tcPr>
            <w:tcW w:w="1248" w:type="dxa"/>
          </w:tcPr>
          <w:p w14:paraId="776ACE7A"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R$ 3,16</w:t>
            </w:r>
          </w:p>
        </w:tc>
        <w:tc>
          <w:tcPr>
            <w:tcW w:w="1249" w:type="dxa"/>
          </w:tcPr>
          <w:p w14:paraId="57801DC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R$ 4,87</w:t>
            </w:r>
          </w:p>
        </w:tc>
        <w:tc>
          <w:tcPr>
            <w:tcW w:w="1249" w:type="dxa"/>
          </w:tcPr>
          <w:p w14:paraId="69030DB8"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R$ 5,18</w:t>
            </w:r>
          </w:p>
        </w:tc>
        <w:tc>
          <w:tcPr>
            <w:tcW w:w="1178" w:type="dxa"/>
          </w:tcPr>
          <w:p w14:paraId="35322F0D"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R$ 5,54</w:t>
            </w:r>
          </w:p>
        </w:tc>
        <w:tc>
          <w:tcPr>
            <w:tcW w:w="1093" w:type="dxa"/>
          </w:tcPr>
          <w:p w14:paraId="6143CC14"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R$ 5,89</w:t>
            </w:r>
          </w:p>
        </w:tc>
        <w:tc>
          <w:tcPr>
            <w:tcW w:w="990" w:type="dxa"/>
          </w:tcPr>
          <w:p w14:paraId="00F90A9D"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R$ 5,19</w:t>
            </w:r>
          </w:p>
        </w:tc>
      </w:tr>
      <w:tr w:rsidR="00061933" w:rsidRPr="00061933" w14:paraId="5EEB21FE"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D57A4B1"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Cosanpa</w:t>
            </w:r>
          </w:p>
        </w:tc>
        <w:tc>
          <w:tcPr>
            <w:tcW w:w="1248" w:type="dxa"/>
          </w:tcPr>
          <w:p w14:paraId="565612DC"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R$ 1,89</w:t>
            </w:r>
          </w:p>
        </w:tc>
        <w:tc>
          <w:tcPr>
            <w:tcW w:w="1249" w:type="dxa"/>
          </w:tcPr>
          <w:p w14:paraId="3F1E65CD"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R$ 2,06</w:t>
            </w:r>
          </w:p>
        </w:tc>
        <w:tc>
          <w:tcPr>
            <w:tcW w:w="1249" w:type="dxa"/>
          </w:tcPr>
          <w:p w14:paraId="0C34482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R$ 2,05</w:t>
            </w:r>
          </w:p>
        </w:tc>
        <w:tc>
          <w:tcPr>
            <w:tcW w:w="1178" w:type="dxa"/>
          </w:tcPr>
          <w:p w14:paraId="4CC1FD5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R$ 1,97</w:t>
            </w:r>
          </w:p>
        </w:tc>
        <w:tc>
          <w:tcPr>
            <w:tcW w:w="1093" w:type="dxa"/>
          </w:tcPr>
          <w:p w14:paraId="4920599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R$ 1,99</w:t>
            </w:r>
          </w:p>
        </w:tc>
        <w:tc>
          <w:tcPr>
            <w:tcW w:w="990" w:type="dxa"/>
          </w:tcPr>
          <w:p w14:paraId="79196957"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R$ 1,96</w:t>
            </w:r>
          </w:p>
        </w:tc>
      </w:tr>
      <w:tr w:rsidR="00061933" w:rsidRPr="00061933" w14:paraId="6F98DF6C"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D8402FB"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Depasa</w:t>
            </w:r>
          </w:p>
        </w:tc>
        <w:tc>
          <w:tcPr>
            <w:tcW w:w="1248" w:type="dxa"/>
          </w:tcPr>
          <w:p w14:paraId="4C736519"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R$ 0,80</w:t>
            </w:r>
          </w:p>
        </w:tc>
        <w:tc>
          <w:tcPr>
            <w:tcW w:w="1249" w:type="dxa"/>
          </w:tcPr>
          <w:p w14:paraId="01FA4B20"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R$ 0,99</w:t>
            </w:r>
          </w:p>
        </w:tc>
        <w:tc>
          <w:tcPr>
            <w:tcW w:w="1249" w:type="dxa"/>
          </w:tcPr>
          <w:p w14:paraId="7A20B255"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R$ 2,88</w:t>
            </w:r>
          </w:p>
        </w:tc>
        <w:tc>
          <w:tcPr>
            <w:tcW w:w="1178" w:type="dxa"/>
          </w:tcPr>
          <w:p w14:paraId="5366716C"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R$ 1,66</w:t>
            </w:r>
          </w:p>
        </w:tc>
        <w:tc>
          <w:tcPr>
            <w:tcW w:w="1093" w:type="dxa"/>
          </w:tcPr>
          <w:p w14:paraId="1C1A277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R$ 1,84</w:t>
            </w:r>
          </w:p>
        </w:tc>
        <w:tc>
          <w:tcPr>
            <w:tcW w:w="990" w:type="dxa"/>
          </w:tcPr>
          <w:p w14:paraId="32688A92"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R$ 1,97</w:t>
            </w:r>
          </w:p>
        </w:tc>
      </w:tr>
      <w:tr w:rsidR="00061933" w:rsidRPr="00061933" w14:paraId="60675B41"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6C03103"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Deso</w:t>
            </w:r>
          </w:p>
        </w:tc>
        <w:tc>
          <w:tcPr>
            <w:tcW w:w="1248" w:type="dxa"/>
          </w:tcPr>
          <w:p w14:paraId="262526D2"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R$ 2,81</w:t>
            </w:r>
          </w:p>
        </w:tc>
        <w:tc>
          <w:tcPr>
            <w:tcW w:w="1249" w:type="dxa"/>
          </w:tcPr>
          <w:p w14:paraId="7A4EFAE3"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R$ 2,89</w:t>
            </w:r>
          </w:p>
        </w:tc>
        <w:tc>
          <w:tcPr>
            <w:tcW w:w="1249" w:type="dxa"/>
          </w:tcPr>
          <w:p w14:paraId="42FBC3EF"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R$ 3,25</w:t>
            </w:r>
          </w:p>
        </w:tc>
        <w:tc>
          <w:tcPr>
            <w:tcW w:w="1178" w:type="dxa"/>
          </w:tcPr>
          <w:p w14:paraId="4F989033"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R$ 3,27</w:t>
            </w:r>
          </w:p>
        </w:tc>
        <w:tc>
          <w:tcPr>
            <w:tcW w:w="1093" w:type="dxa"/>
          </w:tcPr>
          <w:p w14:paraId="2AE0CF58"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R$ 3,38</w:t>
            </w:r>
          </w:p>
        </w:tc>
        <w:tc>
          <w:tcPr>
            <w:tcW w:w="990" w:type="dxa"/>
          </w:tcPr>
          <w:p w14:paraId="0D7F1C2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R$ 3,68</w:t>
            </w:r>
          </w:p>
        </w:tc>
      </w:tr>
      <w:tr w:rsidR="00061933" w:rsidRPr="00061933" w14:paraId="14BF4EF4"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824C612"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Embasa</w:t>
            </w:r>
          </w:p>
        </w:tc>
        <w:tc>
          <w:tcPr>
            <w:tcW w:w="1248" w:type="dxa"/>
          </w:tcPr>
          <w:p w14:paraId="35CF8B3D"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R$ 2,18</w:t>
            </w:r>
          </w:p>
        </w:tc>
        <w:tc>
          <w:tcPr>
            <w:tcW w:w="1249" w:type="dxa"/>
          </w:tcPr>
          <w:p w14:paraId="761D6FCF"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R$ 2,45</w:t>
            </w:r>
          </w:p>
        </w:tc>
        <w:tc>
          <w:tcPr>
            <w:tcW w:w="1249" w:type="dxa"/>
          </w:tcPr>
          <w:p w14:paraId="6257516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R$ 2,71</w:t>
            </w:r>
          </w:p>
        </w:tc>
        <w:tc>
          <w:tcPr>
            <w:tcW w:w="1178" w:type="dxa"/>
          </w:tcPr>
          <w:p w14:paraId="4ADBE544"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R$ 3,05</w:t>
            </w:r>
          </w:p>
        </w:tc>
        <w:tc>
          <w:tcPr>
            <w:tcW w:w="1093" w:type="dxa"/>
          </w:tcPr>
          <w:p w14:paraId="70F748A7"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R$ 3,10</w:t>
            </w:r>
          </w:p>
        </w:tc>
        <w:tc>
          <w:tcPr>
            <w:tcW w:w="990" w:type="dxa"/>
          </w:tcPr>
          <w:p w14:paraId="59AB1E89"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R$ 3,68</w:t>
            </w:r>
          </w:p>
        </w:tc>
      </w:tr>
      <w:tr w:rsidR="00061933" w:rsidRPr="00061933" w14:paraId="7B8E65B8"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A44B0AC"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Sabesp</w:t>
            </w:r>
          </w:p>
        </w:tc>
        <w:tc>
          <w:tcPr>
            <w:tcW w:w="1248" w:type="dxa"/>
          </w:tcPr>
          <w:p w14:paraId="083A7BA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R$ 2,19</w:t>
            </w:r>
          </w:p>
        </w:tc>
        <w:tc>
          <w:tcPr>
            <w:tcW w:w="1249" w:type="dxa"/>
          </w:tcPr>
          <w:p w14:paraId="46A63585"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R$ 2,30</w:t>
            </w:r>
          </w:p>
        </w:tc>
        <w:tc>
          <w:tcPr>
            <w:tcW w:w="1249" w:type="dxa"/>
          </w:tcPr>
          <w:p w14:paraId="715FFB37"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R$ 2,42</w:t>
            </w:r>
          </w:p>
        </w:tc>
        <w:tc>
          <w:tcPr>
            <w:tcW w:w="1178" w:type="dxa"/>
          </w:tcPr>
          <w:p w14:paraId="0A356D43"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R$ 2,53</w:t>
            </w:r>
          </w:p>
        </w:tc>
        <w:tc>
          <w:tcPr>
            <w:tcW w:w="1093" w:type="dxa"/>
          </w:tcPr>
          <w:p w14:paraId="3EAD559E"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R$ 2,42</w:t>
            </w:r>
          </w:p>
        </w:tc>
        <w:tc>
          <w:tcPr>
            <w:tcW w:w="990" w:type="dxa"/>
          </w:tcPr>
          <w:p w14:paraId="1ABA63AB"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R$ 2,61</w:t>
            </w:r>
          </w:p>
        </w:tc>
      </w:tr>
      <w:tr w:rsidR="00061933" w:rsidRPr="00061933" w14:paraId="28486833"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0E13271"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Saneago</w:t>
            </w:r>
          </w:p>
        </w:tc>
        <w:tc>
          <w:tcPr>
            <w:tcW w:w="1248" w:type="dxa"/>
          </w:tcPr>
          <w:p w14:paraId="7A58D06B"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R$ 2,73</w:t>
            </w:r>
          </w:p>
        </w:tc>
        <w:tc>
          <w:tcPr>
            <w:tcW w:w="1249" w:type="dxa"/>
          </w:tcPr>
          <w:p w14:paraId="3C40A1FE"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R$ 2,95</w:t>
            </w:r>
          </w:p>
        </w:tc>
        <w:tc>
          <w:tcPr>
            <w:tcW w:w="1249" w:type="dxa"/>
          </w:tcPr>
          <w:p w14:paraId="1693505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R$ 3,15</w:t>
            </w:r>
          </w:p>
        </w:tc>
        <w:tc>
          <w:tcPr>
            <w:tcW w:w="1178" w:type="dxa"/>
          </w:tcPr>
          <w:p w14:paraId="2C7DBC8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R$ 3,33</w:t>
            </w:r>
          </w:p>
        </w:tc>
        <w:tc>
          <w:tcPr>
            <w:tcW w:w="1093" w:type="dxa"/>
          </w:tcPr>
          <w:p w14:paraId="6EB62CE1"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R$ 3,50</w:t>
            </w:r>
          </w:p>
        </w:tc>
        <w:tc>
          <w:tcPr>
            <w:tcW w:w="990" w:type="dxa"/>
          </w:tcPr>
          <w:p w14:paraId="5DE4A98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R$ 4,08</w:t>
            </w:r>
          </w:p>
        </w:tc>
      </w:tr>
      <w:tr w:rsidR="00061933" w:rsidRPr="00061933" w14:paraId="6910F037"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CD2434A"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Saneatins</w:t>
            </w:r>
          </w:p>
        </w:tc>
        <w:tc>
          <w:tcPr>
            <w:tcW w:w="1248" w:type="dxa"/>
          </w:tcPr>
          <w:p w14:paraId="296C7B20"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R$ 2,59</w:t>
            </w:r>
          </w:p>
        </w:tc>
        <w:tc>
          <w:tcPr>
            <w:tcW w:w="1249" w:type="dxa"/>
          </w:tcPr>
          <w:p w14:paraId="41BC3D3D"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R$ 2,67</w:t>
            </w:r>
          </w:p>
        </w:tc>
        <w:tc>
          <w:tcPr>
            <w:tcW w:w="1249" w:type="dxa"/>
          </w:tcPr>
          <w:p w14:paraId="6D8612FE"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R$ 2,87</w:t>
            </w:r>
          </w:p>
        </w:tc>
        <w:tc>
          <w:tcPr>
            <w:tcW w:w="1178" w:type="dxa"/>
          </w:tcPr>
          <w:p w14:paraId="4B937F3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R$ 3,08</w:t>
            </w:r>
          </w:p>
        </w:tc>
        <w:tc>
          <w:tcPr>
            <w:tcW w:w="1093" w:type="dxa"/>
          </w:tcPr>
          <w:p w14:paraId="7483BB2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R$ 3,42</w:t>
            </w:r>
          </w:p>
        </w:tc>
        <w:tc>
          <w:tcPr>
            <w:tcW w:w="990" w:type="dxa"/>
          </w:tcPr>
          <w:p w14:paraId="7CAF3854"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R$ 3,76</w:t>
            </w:r>
          </w:p>
        </w:tc>
      </w:tr>
      <w:tr w:rsidR="00061933" w:rsidRPr="00061933" w14:paraId="4365C706"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9DC5801"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Sanepar</w:t>
            </w:r>
          </w:p>
        </w:tc>
        <w:tc>
          <w:tcPr>
            <w:tcW w:w="1248" w:type="dxa"/>
          </w:tcPr>
          <w:p w14:paraId="2528F907"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R$ 1,86</w:t>
            </w:r>
          </w:p>
        </w:tc>
        <w:tc>
          <w:tcPr>
            <w:tcW w:w="1249" w:type="dxa"/>
          </w:tcPr>
          <w:p w14:paraId="2FE65324"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R$ 2,10</w:t>
            </w:r>
          </w:p>
        </w:tc>
        <w:tc>
          <w:tcPr>
            <w:tcW w:w="1249" w:type="dxa"/>
          </w:tcPr>
          <w:p w14:paraId="32105E80"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R$ 2,43</w:t>
            </w:r>
          </w:p>
        </w:tc>
        <w:tc>
          <w:tcPr>
            <w:tcW w:w="1178" w:type="dxa"/>
          </w:tcPr>
          <w:p w14:paraId="390626D9"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R$ 2,63</w:t>
            </w:r>
          </w:p>
        </w:tc>
        <w:tc>
          <w:tcPr>
            <w:tcW w:w="1093" w:type="dxa"/>
          </w:tcPr>
          <w:p w14:paraId="3C0D1E36"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R$ 2,76</w:t>
            </w:r>
          </w:p>
        </w:tc>
        <w:tc>
          <w:tcPr>
            <w:tcW w:w="990" w:type="dxa"/>
          </w:tcPr>
          <w:p w14:paraId="5E4CCD1D" w14:textId="77777777" w:rsidR="00061933" w:rsidRPr="00EA348F" w:rsidRDefault="00061933">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R$ 3,08</w:t>
            </w:r>
          </w:p>
        </w:tc>
      </w:tr>
      <w:tr w:rsidR="00061933" w:rsidRPr="00061933" w14:paraId="5FD6748D" w14:textId="77777777" w:rsidTr="00061933">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29103D4" w14:textId="77777777" w:rsidR="00061933" w:rsidRPr="00EA348F" w:rsidRDefault="00061933">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Sanesul</w:t>
            </w:r>
          </w:p>
        </w:tc>
        <w:tc>
          <w:tcPr>
            <w:tcW w:w="1248" w:type="dxa"/>
          </w:tcPr>
          <w:p w14:paraId="004C9CE8"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R$ 2,63</w:t>
            </w:r>
          </w:p>
        </w:tc>
        <w:tc>
          <w:tcPr>
            <w:tcW w:w="1249" w:type="dxa"/>
          </w:tcPr>
          <w:p w14:paraId="162C2F4C"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R$ 2,64</w:t>
            </w:r>
          </w:p>
        </w:tc>
        <w:tc>
          <w:tcPr>
            <w:tcW w:w="1249" w:type="dxa"/>
          </w:tcPr>
          <w:p w14:paraId="381F473C"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R$ 2,80</w:t>
            </w:r>
          </w:p>
        </w:tc>
        <w:tc>
          <w:tcPr>
            <w:tcW w:w="1178" w:type="dxa"/>
          </w:tcPr>
          <w:p w14:paraId="22FC9BBA"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R$ 2,93</w:t>
            </w:r>
          </w:p>
        </w:tc>
        <w:tc>
          <w:tcPr>
            <w:tcW w:w="1093" w:type="dxa"/>
          </w:tcPr>
          <w:p w14:paraId="4FEEECD6"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R$ 3,06</w:t>
            </w:r>
          </w:p>
        </w:tc>
        <w:tc>
          <w:tcPr>
            <w:tcW w:w="990" w:type="dxa"/>
          </w:tcPr>
          <w:p w14:paraId="1C00A569" w14:textId="77777777" w:rsidR="00061933" w:rsidRPr="00EA348F" w:rsidRDefault="00061933">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R$ 3,42</w:t>
            </w:r>
          </w:p>
        </w:tc>
      </w:tr>
    </w:tbl>
    <w:p w14:paraId="2A55A14F" w14:textId="77777777" w:rsidR="000C1E89" w:rsidRPr="00042F25" w:rsidRDefault="000C1E89" w:rsidP="000C1E89">
      <w:pPr>
        <w:pStyle w:val="Descripcin"/>
        <w:spacing w:before="0" w:beforeAutospacing="0"/>
        <w:jc w:val="left"/>
        <w:rPr>
          <w:sz w:val="20"/>
        </w:rPr>
      </w:pPr>
      <w:r w:rsidRPr="00042F25">
        <w:rPr>
          <w:sz w:val="20"/>
        </w:rPr>
        <w:t>Fonte: SNIS 2015. Elaborado por: GO Associados</w:t>
      </w:r>
    </w:p>
    <w:p w14:paraId="085D58D7" w14:textId="77777777" w:rsidR="00BE6379" w:rsidRPr="00042F25" w:rsidRDefault="00BE6379" w:rsidP="00BE6379"/>
    <w:p w14:paraId="0025E2B0" w14:textId="6EAF10C4" w:rsidR="00BE6379" w:rsidRPr="00042F25" w:rsidRDefault="00BE6379" w:rsidP="00C71C89">
      <w:pPr>
        <w:pStyle w:val="Ttulo2"/>
        <w:ind w:left="1427"/>
      </w:pPr>
      <w:bookmarkStart w:id="12" w:name="_Toc493094921"/>
      <w:r w:rsidRPr="00042F25">
        <w:lastRenderedPageBreak/>
        <w:t>Consumo médio</w:t>
      </w:r>
      <w:r w:rsidR="008075BD" w:rsidRPr="00042F25">
        <w:t xml:space="preserve"> de água</w:t>
      </w:r>
      <w:bookmarkEnd w:id="12"/>
    </w:p>
    <w:p w14:paraId="2C201AA3" w14:textId="7CF17CB7" w:rsidR="000969B4" w:rsidRPr="00042F25" w:rsidRDefault="008075BD" w:rsidP="000969B4">
      <w:r w:rsidRPr="00042F25">
        <w:t>Os indicadores</w:t>
      </w:r>
      <w:r w:rsidR="000969B4" w:rsidRPr="00042F25">
        <w:t xml:space="preserve"> de </w:t>
      </w:r>
      <w:r w:rsidRPr="00042F25">
        <w:t>consumo médio de água podem ser divididos</w:t>
      </w:r>
      <w:r w:rsidR="000969B4" w:rsidRPr="00042F25">
        <w:t xml:space="preserve"> em dois </w:t>
      </w:r>
      <w:r w:rsidRPr="00042F25">
        <w:t>parâmetros</w:t>
      </w:r>
      <w:r w:rsidR="000969B4" w:rsidRPr="00042F25">
        <w:t xml:space="preserve">: um seria o valor </w:t>
      </w:r>
      <w:r w:rsidRPr="00042F25">
        <w:t>per capita (IN02</w:t>
      </w:r>
      <w:r w:rsidR="000969B4" w:rsidRPr="00042F25">
        <w:t>2)</w:t>
      </w:r>
      <w:r w:rsidR="00BF3282" w:rsidRPr="00042F25">
        <w:t>, expresso</w:t>
      </w:r>
      <w:r w:rsidR="000969B4" w:rsidRPr="00042F25">
        <w:t xml:space="preserve"> </w:t>
      </w:r>
      <w:r w:rsidR="00BF3282" w:rsidRPr="00042F25">
        <w:t xml:space="preserve">em litros/habitante/dia, </w:t>
      </w:r>
      <w:r w:rsidR="000969B4" w:rsidRPr="00042F25">
        <w:t xml:space="preserve">e o outro seria o valor por </w:t>
      </w:r>
      <w:r w:rsidRPr="00042F25">
        <w:t>economia (IN053</w:t>
      </w:r>
      <w:r w:rsidR="004A1C8C" w:rsidRPr="00042F25">
        <w:t>)</w:t>
      </w:r>
      <w:r w:rsidR="00BF3282" w:rsidRPr="00042F25">
        <w:t>, expresso</w:t>
      </w:r>
      <w:r w:rsidR="003571F0" w:rsidRPr="00042F25">
        <w:t xml:space="preserve"> em</w:t>
      </w:r>
      <w:r w:rsidR="00BF3282" w:rsidRPr="00042F25">
        <w:t xml:space="preserve"> m</w:t>
      </w:r>
      <w:r w:rsidR="00BF3282" w:rsidRPr="00042F25">
        <w:rPr>
          <w:vertAlign w:val="superscript"/>
        </w:rPr>
        <w:t>3</w:t>
      </w:r>
      <w:r w:rsidR="00BF3282" w:rsidRPr="00042F25">
        <w:t>/mês/economia</w:t>
      </w:r>
      <w:r w:rsidR="004A1C8C" w:rsidRPr="00042F25">
        <w:t>. Os dois indicadores são calculados através do volume de água consumido (AG010</w:t>
      </w:r>
      <w:r w:rsidR="000969B4" w:rsidRPr="00042F25">
        <w:t xml:space="preserve">) e </w:t>
      </w:r>
      <w:r w:rsidR="004A1C8C" w:rsidRPr="00042F25">
        <w:t>o volume de água tratada</w:t>
      </w:r>
      <w:r w:rsidR="000969B4" w:rsidRPr="00042F25">
        <w:t xml:space="preserve"> (</w:t>
      </w:r>
      <w:r w:rsidR="004A1C8C" w:rsidRPr="00042F25">
        <w:t>AG</w:t>
      </w:r>
      <w:r w:rsidR="000969B4" w:rsidRPr="00042F25">
        <w:t>0</w:t>
      </w:r>
      <w:r w:rsidR="004A1C8C" w:rsidRPr="00042F25">
        <w:t>19), mas para o IN02</w:t>
      </w:r>
      <w:r w:rsidR="000969B4" w:rsidRPr="00042F25">
        <w:t xml:space="preserve">2 a </w:t>
      </w:r>
      <w:r w:rsidR="004A1C8C" w:rsidRPr="00042F25">
        <w:t>população total atendida com abastecimento de água (AG001</w:t>
      </w:r>
      <w:r w:rsidR="000969B4" w:rsidRPr="00042F25">
        <w:t xml:space="preserve">) </w:t>
      </w:r>
      <w:r w:rsidR="005F319C" w:rsidRPr="00042F25">
        <w:t>é</w:t>
      </w:r>
      <w:r w:rsidR="005E171F" w:rsidRPr="00042F25">
        <w:t xml:space="preserve"> usada </w:t>
      </w:r>
      <w:r w:rsidR="000969B4" w:rsidRPr="00042F25">
        <w:t>no se</w:t>
      </w:r>
      <w:r w:rsidR="004A1C8C" w:rsidRPr="00042F25">
        <w:t>u cálculo, enquanto que no IN053</w:t>
      </w:r>
      <w:r w:rsidR="000969B4" w:rsidRPr="00042F25">
        <w:t xml:space="preserve"> a quantidade </w:t>
      </w:r>
      <w:r w:rsidR="004A1C8C" w:rsidRPr="00042F25">
        <w:t>de economias ativas de água</w:t>
      </w:r>
      <w:r w:rsidR="000969B4" w:rsidRPr="00042F25">
        <w:t xml:space="preserve"> (</w:t>
      </w:r>
      <w:r w:rsidR="004A1C8C" w:rsidRPr="00042F25">
        <w:t>AG003</w:t>
      </w:r>
      <w:r w:rsidR="000969B4" w:rsidRPr="00042F25">
        <w:t xml:space="preserve">) </w:t>
      </w:r>
      <w:r w:rsidR="005F319C" w:rsidRPr="00042F25">
        <w:t>é</w:t>
      </w:r>
      <w:r w:rsidR="005E171F" w:rsidRPr="00042F25">
        <w:t xml:space="preserve"> usada</w:t>
      </w:r>
      <w:r w:rsidR="000969B4" w:rsidRPr="00042F25">
        <w:t xml:space="preserve">: </w:t>
      </w:r>
    </w:p>
    <w:p w14:paraId="0E8F6B93" w14:textId="7E1B7488" w:rsidR="002A2220" w:rsidRPr="00042F25" w:rsidRDefault="000969B4" w:rsidP="002A2220">
      <w:pPr>
        <w:jc w:val="center"/>
      </w:pPr>
      <m:oMathPara>
        <m:oMathParaPr>
          <m:jc m:val="center"/>
        </m:oMathParaPr>
        <m:oMath>
          <m:r>
            <w:rPr>
              <w:rFonts w:ascii="Cambria Math" w:hAnsi="Cambria Math"/>
            </w:rPr>
            <m:t xml:space="preserve">IN022=  </m:t>
          </m:r>
          <m:f>
            <m:fPr>
              <m:ctrlPr>
                <w:rPr>
                  <w:rFonts w:ascii="Cambria Math" w:hAnsi="Cambria Math"/>
                  <w:i/>
                </w:rPr>
              </m:ctrlPr>
            </m:fPr>
            <m:num>
              <m:r>
                <w:rPr>
                  <w:rFonts w:ascii="Cambria Math" w:hAnsi="Cambria Math"/>
                </w:rPr>
                <m:t>AG010-AG019</m:t>
              </m:r>
            </m:num>
            <m:den>
              <m:r>
                <w:rPr>
                  <w:rFonts w:ascii="Cambria Math" w:hAnsi="Cambria Math"/>
                </w:rPr>
                <m:t>AG001</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365</m:t>
              </m:r>
            </m:den>
          </m:f>
        </m:oMath>
      </m:oMathPara>
    </w:p>
    <w:p w14:paraId="3E4242FE" w14:textId="6767A770" w:rsidR="000969B4" w:rsidRPr="00042F25" w:rsidRDefault="000969B4" w:rsidP="002A2220">
      <w:pPr>
        <w:jc w:val="center"/>
        <w:rPr>
          <w:rFonts w:ascii="Cambria Math" w:hAnsi="Cambria Math"/>
          <w:i/>
        </w:rPr>
      </w:pPr>
      <m:oMathPara>
        <m:oMathParaPr>
          <m:jc m:val="center"/>
        </m:oMathParaPr>
        <m:oMath>
          <m:r>
            <w:rPr>
              <w:rFonts w:ascii="Cambria Math" w:hAnsi="Cambria Math"/>
            </w:rPr>
            <m:t xml:space="preserve">IN053= </m:t>
          </m:r>
          <m:f>
            <m:fPr>
              <m:ctrlPr>
                <w:rPr>
                  <w:rFonts w:ascii="Cambria Math" w:hAnsi="Cambria Math"/>
                  <w:i/>
                </w:rPr>
              </m:ctrlPr>
            </m:fPr>
            <m:num>
              <m:r>
                <w:rPr>
                  <w:rFonts w:ascii="Cambria Math" w:hAnsi="Cambria Math"/>
                </w:rPr>
                <m:t>AG010-AG019</m:t>
              </m:r>
            </m:num>
            <m:den>
              <m:r>
                <w:rPr>
                  <w:rFonts w:ascii="Cambria Math" w:hAnsi="Cambria Math"/>
                </w:rPr>
                <m:t>AG003</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12</m:t>
              </m:r>
            </m:den>
          </m:f>
        </m:oMath>
      </m:oMathPara>
    </w:p>
    <w:p w14:paraId="2E620C94" w14:textId="544F27EB" w:rsidR="00061933" w:rsidRDefault="00E24B0E" w:rsidP="00BE6379">
      <w:r w:rsidRPr="00042F25">
        <w:t>Este</w:t>
      </w:r>
      <w:r w:rsidR="00A93A3C">
        <w:t>s</w:t>
      </w:r>
      <w:r w:rsidRPr="00042F25">
        <w:t xml:space="preserve"> indicadores </w:t>
      </w:r>
      <w:r w:rsidR="00AA25E7" w:rsidRPr="00042F25">
        <w:t>podem mostrar se o consumo é considerado</w:t>
      </w:r>
      <w:r w:rsidR="00AA25E7" w:rsidRPr="00042F25">
        <w:rPr>
          <w:szCs w:val="24"/>
        </w:rPr>
        <w:t xml:space="preserve"> suficiente para satisfazer as necessidades básicas de</w:t>
      </w:r>
      <w:r w:rsidR="006553D6">
        <w:rPr>
          <w:szCs w:val="24"/>
        </w:rPr>
        <w:t xml:space="preserve"> </w:t>
      </w:r>
      <w:r w:rsidR="006553D6" w:rsidRPr="00EA348F">
        <w:rPr>
          <w:szCs w:val="24"/>
        </w:rPr>
        <w:t>utilização da água para várias finalidades</w:t>
      </w:r>
      <w:r w:rsidR="00AA25E7" w:rsidRPr="00042F25">
        <w:rPr>
          <w:szCs w:val="24"/>
        </w:rPr>
        <w:t xml:space="preserve"> e higiene da população</w:t>
      </w:r>
      <w:r w:rsidR="00061933">
        <w:rPr>
          <w:szCs w:val="24"/>
        </w:rPr>
        <w:t xml:space="preserve"> (Consumo per Capita)</w:t>
      </w:r>
      <w:r w:rsidR="00AA25E7" w:rsidRPr="00042F25">
        <w:rPr>
          <w:szCs w:val="24"/>
        </w:rPr>
        <w:t>.</w:t>
      </w:r>
      <w:r w:rsidR="00061933">
        <w:rPr>
          <w:szCs w:val="24"/>
        </w:rPr>
        <w:t xml:space="preserve"> Além disso, e possível avaliar os padrões de consumo médio por economia, para propósitos de planejamento e gestão de demanda.</w:t>
      </w:r>
      <w:r w:rsidR="00AA25E7" w:rsidRPr="00042F25">
        <w:t xml:space="preserve"> </w:t>
      </w:r>
    </w:p>
    <w:p w14:paraId="58F26176" w14:textId="60BB02B8" w:rsidR="00BE6379" w:rsidRPr="00042F25" w:rsidRDefault="00BE6379" w:rsidP="00BE6379">
      <w:r w:rsidRPr="00042F25">
        <w:t>A evolução deste índice de 2010 a 2015 nas Companhias E</w:t>
      </w:r>
      <w:r w:rsidR="003B4507" w:rsidRPr="00042F25">
        <w:t>staduais de Saneamento Básico</w:t>
      </w:r>
      <w:r w:rsidR="00AA25E7" w:rsidRPr="00042F25">
        <w:t xml:space="preserve"> mostra que </w:t>
      </w:r>
      <w:r w:rsidR="00AA25E7" w:rsidRPr="00EA348F">
        <w:t>a Cedae possui os valores mais elevados de consumo médio de água tanto per capita</w:t>
      </w:r>
      <w:r w:rsidR="00A93A3C" w:rsidRPr="00EA348F">
        <w:t xml:space="preserve"> (277,2 litros por habitante por dia em 2015)</w:t>
      </w:r>
      <w:r w:rsidR="00AA25E7" w:rsidRPr="00EA348F">
        <w:t xml:space="preserve"> quanto por economia</w:t>
      </w:r>
      <w:r w:rsidR="00A93A3C" w:rsidRPr="00EA348F">
        <w:t xml:space="preserve"> (23,63 m</w:t>
      </w:r>
      <w:r w:rsidR="00A93A3C" w:rsidRPr="00EA348F">
        <w:rPr>
          <w:vertAlign w:val="superscript"/>
        </w:rPr>
        <w:t>3</w:t>
      </w:r>
      <w:r w:rsidR="00A93A3C" w:rsidRPr="00EA348F">
        <w:t xml:space="preserve"> por mês)</w:t>
      </w:r>
      <w:r w:rsidR="00AA25E7" w:rsidRPr="00042F25">
        <w:t>.</w:t>
      </w:r>
      <w:r w:rsidR="00061933">
        <w:t xml:space="preserve"> A média da amostra e de 141 </w:t>
      </w:r>
      <w:r w:rsidR="00061933" w:rsidRPr="00455ABB">
        <w:t xml:space="preserve">litros por habitante por dia </w:t>
      </w:r>
      <w:r w:rsidR="00061933">
        <w:t xml:space="preserve">e 12,94 </w:t>
      </w:r>
      <w:r w:rsidR="00061933" w:rsidRPr="00455ABB">
        <w:t>m</w:t>
      </w:r>
      <w:r w:rsidR="00061933" w:rsidRPr="00455ABB">
        <w:rPr>
          <w:vertAlign w:val="superscript"/>
        </w:rPr>
        <w:t>3</w:t>
      </w:r>
      <w:r w:rsidR="00061933" w:rsidRPr="00455ABB">
        <w:t xml:space="preserve"> por </w:t>
      </w:r>
      <w:r w:rsidR="00E372C6">
        <w:t xml:space="preserve">economia por </w:t>
      </w:r>
      <w:r w:rsidR="00061933" w:rsidRPr="00455ABB">
        <w:t>mês</w:t>
      </w:r>
      <w:r w:rsidR="00061933">
        <w:t>.</w:t>
      </w:r>
    </w:p>
    <w:p w14:paraId="4CEA4A08" w14:textId="6B949A2C" w:rsidR="003862F2" w:rsidRDefault="003862F2" w:rsidP="003862F2">
      <w:pPr>
        <w:pStyle w:val="Descripcin"/>
      </w:pPr>
      <w:bookmarkStart w:id="13" w:name="_Toc493222470"/>
      <w:r w:rsidRPr="00042F25">
        <w:t xml:space="preserve">Quadro </w:t>
      </w:r>
      <w:fldSimple w:instr=" SEQ Quadro \* ARABIC ">
        <w:r w:rsidR="00B64D1C" w:rsidRPr="00042F25">
          <w:rPr>
            <w:noProof/>
          </w:rPr>
          <w:t>6</w:t>
        </w:r>
      </w:fldSimple>
      <w:r w:rsidRPr="00042F25">
        <w:t xml:space="preserve"> – </w:t>
      </w:r>
      <w:r w:rsidR="00184C13" w:rsidRPr="00042F25">
        <w:t>Co</w:t>
      </w:r>
      <w:r w:rsidR="008B0F89" w:rsidRPr="00042F25">
        <w:t>nsumo</w:t>
      </w:r>
      <w:r w:rsidRPr="00042F25">
        <w:t xml:space="preserve"> Médi</w:t>
      </w:r>
      <w:r w:rsidR="008B0F89" w:rsidRPr="00042F25">
        <w:t>o</w:t>
      </w:r>
      <w:r w:rsidRPr="00042F25">
        <w:t xml:space="preserve"> </w:t>
      </w:r>
      <w:r w:rsidR="008B0F89" w:rsidRPr="00042F25">
        <w:t>per capita de Água (IN022</w:t>
      </w:r>
      <w:r w:rsidRPr="00042F25">
        <w:t>)</w:t>
      </w:r>
      <w:bookmarkEnd w:id="13"/>
    </w:p>
    <w:tbl>
      <w:tblPr>
        <w:tblStyle w:val="Tabladecuadrcula4-nfasis11"/>
        <w:tblW w:w="8494" w:type="dxa"/>
        <w:jc w:val="center"/>
        <w:tblLayout w:type="fixed"/>
        <w:tblLook w:val="04A0" w:firstRow="1" w:lastRow="0" w:firstColumn="1" w:lastColumn="0" w:noHBand="0" w:noVBand="1"/>
      </w:tblPr>
      <w:tblGrid>
        <w:gridCol w:w="1487"/>
        <w:gridCol w:w="1248"/>
        <w:gridCol w:w="1249"/>
        <w:gridCol w:w="1249"/>
        <w:gridCol w:w="1178"/>
        <w:gridCol w:w="1093"/>
        <w:gridCol w:w="990"/>
      </w:tblGrid>
      <w:tr w:rsidR="002A4D9B" w:rsidRPr="002A4D9B" w14:paraId="75BE9713" w14:textId="77777777" w:rsidTr="002A4D9B">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487" w:type="dxa"/>
          </w:tcPr>
          <w:p w14:paraId="315DBF4D"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FFFFFF"/>
                <w:sz w:val="22"/>
                <w:lang w:eastAsia="en-US"/>
              </w:rPr>
            </w:pPr>
            <w:r w:rsidRPr="00EA348F">
              <w:rPr>
                <w:rFonts w:eastAsiaTheme="minorHAnsi"/>
                <w:color w:val="FFFFFF"/>
                <w:sz w:val="22"/>
                <w:lang w:eastAsia="en-US"/>
              </w:rPr>
              <w:t>Empresa</w:t>
            </w:r>
          </w:p>
        </w:tc>
        <w:tc>
          <w:tcPr>
            <w:tcW w:w="1248" w:type="dxa"/>
          </w:tcPr>
          <w:p w14:paraId="7480AFE1" w14:textId="77777777" w:rsidR="002A4D9B" w:rsidRPr="00EA348F" w:rsidRDefault="002A4D9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2010</w:t>
            </w:r>
          </w:p>
        </w:tc>
        <w:tc>
          <w:tcPr>
            <w:tcW w:w="1249" w:type="dxa"/>
          </w:tcPr>
          <w:p w14:paraId="07E852D0" w14:textId="77777777" w:rsidR="002A4D9B" w:rsidRPr="00EA348F" w:rsidRDefault="002A4D9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2011</w:t>
            </w:r>
          </w:p>
        </w:tc>
        <w:tc>
          <w:tcPr>
            <w:tcW w:w="1249" w:type="dxa"/>
          </w:tcPr>
          <w:p w14:paraId="76BDA3A4" w14:textId="77777777" w:rsidR="002A4D9B" w:rsidRPr="00EA348F" w:rsidRDefault="002A4D9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2012</w:t>
            </w:r>
          </w:p>
        </w:tc>
        <w:tc>
          <w:tcPr>
            <w:tcW w:w="1178" w:type="dxa"/>
          </w:tcPr>
          <w:p w14:paraId="643BBF9D" w14:textId="77777777" w:rsidR="002A4D9B" w:rsidRPr="00EA348F" w:rsidRDefault="002A4D9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2013</w:t>
            </w:r>
          </w:p>
        </w:tc>
        <w:tc>
          <w:tcPr>
            <w:tcW w:w="1093" w:type="dxa"/>
          </w:tcPr>
          <w:p w14:paraId="6332DFBF" w14:textId="77777777" w:rsidR="002A4D9B" w:rsidRPr="00EA348F" w:rsidRDefault="002A4D9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2014</w:t>
            </w:r>
          </w:p>
        </w:tc>
        <w:tc>
          <w:tcPr>
            <w:tcW w:w="990" w:type="dxa"/>
          </w:tcPr>
          <w:p w14:paraId="31BE89F0" w14:textId="77777777" w:rsidR="002A4D9B" w:rsidRPr="00EA348F" w:rsidRDefault="002A4D9B">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2015</w:t>
            </w:r>
          </w:p>
        </w:tc>
      </w:tr>
      <w:tr w:rsidR="002A4D9B" w:rsidRPr="002A4D9B" w14:paraId="20009800"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BB69A68"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Agespisa</w:t>
            </w:r>
          </w:p>
        </w:tc>
        <w:tc>
          <w:tcPr>
            <w:tcW w:w="1248" w:type="dxa"/>
          </w:tcPr>
          <w:p w14:paraId="174E4DD8"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114,9</w:t>
            </w:r>
          </w:p>
        </w:tc>
        <w:tc>
          <w:tcPr>
            <w:tcW w:w="1249" w:type="dxa"/>
          </w:tcPr>
          <w:p w14:paraId="320D0494"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120,1</w:t>
            </w:r>
          </w:p>
        </w:tc>
        <w:tc>
          <w:tcPr>
            <w:tcW w:w="1249" w:type="dxa"/>
          </w:tcPr>
          <w:p w14:paraId="38756294"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130,2</w:t>
            </w:r>
          </w:p>
        </w:tc>
        <w:tc>
          <w:tcPr>
            <w:tcW w:w="1178" w:type="dxa"/>
          </w:tcPr>
          <w:p w14:paraId="0A53A62E"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134,21</w:t>
            </w:r>
          </w:p>
        </w:tc>
        <w:tc>
          <w:tcPr>
            <w:tcW w:w="1093" w:type="dxa"/>
          </w:tcPr>
          <w:p w14:paraId="461AE11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138,8</w:t>
            </w:r>
          </w:p>
        </w:tc>
        <w:tc>
          <w:tcPr>
            <w:tcW w:w="990" w:type="dxa"/>
          </w:tcPr>
          <w:p w14:paraId="103A19E8"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131,31</w:t>
            </w:r>
          </w:p>
        </w:tc>
      </w:tr>
      <w:tr w:rsidR="002A4D9B" w:rsidRPr="002A4D9B" w14:paraId="3C53F04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1D3ECC0"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Caema</w:t>
            </w:r>
          </w:p>
        </w:tc>
        <w:tc>
          <w:tcPr>
            <w:tcW w:w="1248" w:type="dxa"/>
          </w:tcPr>
          <w:p w14:paraId="4A2E56CB"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113,9</w:t>
            </w:r>
          </w:p>
        </w:tc>
        <w:tc>
          <w:tcPr>
            <w:tcW w:w="1249" w:type="dxa"/>
          </w:tcPr>
          <w:p w14:paraId="6EC489C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156,9</w:t>
            </w:r>
          </w:p>
        </w:tc>
        <w:tc>
          <w:tcPr>
            <w:tcW w:w="1249" w:type="dxa"/>
          </w:tcPr>
          <w:p w14:paraId="04E7786F"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239</w:t>
            </w:r>
          </w:p>
        </w:tc>
        <w:tc>
          <w:tcPr>
            <w:tcW w:w="1178" w:type="dxa"/>
          </w:tcPr>
          <w:p w14:paraId="3F03F0A6"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254,99</w:t>
            </w:r>
          </w:p>
        </w:tc>
        <w:tc>
          <w:tcPr>
            <w:tcW w:w="1093" w:type="dxa"/>
          </w:tcPr>
          <w:p w14:paraId="1533DE3C"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134,4</w:t>
            </w:r>
          </w:p>
        </w:tc>
        <w:tc>
          <w:tcPr>
            <w:tcW w:w="990" w:type="dxa"/>
          </w:tcPr>
          <w:p w14:paraId="01E153AE"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131,24</w:t>
            </w:r>
          </w:p>
        </w:tc>
      </w:tr>
      <w:tr w:rsidR="002A4D9B" w:rsidRPr="002A4D9B" w14:paraId="588BDD5C"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B36E615"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w:t>
            </w:r>
          </w:p>
        </w:tc>
        <w:tc>
          <w:tcPr>
            <w:tcW w:w="1248" w:type="dxa"/>
          </w:tcPr>
          <w:p w14:paraId="0425AD3E"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159,1</w:t>
            </w:r>
          </w:p>
        </w:tc>
        <w:tc>
          <w:tcPr>
            <w:tcW w:w="1249" w:type="dxa"/>
          </w:tcPr>
          <w:p w14:paraId="3473CF82"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140,1</w:t>
            </w:r>
          </w:p>
        </w:tc>
        <w:tc>
          <w:tcPr>
            <w:tcW w:w="1249" w:type="dxa"/>
          </w:tcPr>
          <w:p w14:paraId="59EC799A"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152,1</w:t>
            </w:r>
          </w:p>
        </w:tc>
        <w:tc>
          <w:tcPr>
            <w:tcW w:w="1178" w:type="dxa"/>
          </w:tcPr>
          <w:p w14:paraId="6001FECE"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142,05</w:t>
            </w:r>
          </w:p>
        </w:tc>
        <w:tc>
          <w:tcPr>
            <w:tcW w:w="1093" w:type="dxa"/>
          </w:tcPr>
          <w:p w14:paraId="47991A5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152,69</w:t>
            </w:r>
          </w:p>
        </w:tc>
        <w:tc>
          <w:tcPr>
            <w:tcW w:w="990" w:type="dxa"/>
          </w:tcPr>
          <w:p w14:paraId="5793B4CC"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163,15</w:t>
            </w:r>
          </w:p>
        </w:tc>
      </w:tr>
      <w:tr w:rsidR="002A4D9B" w:rsidRPr="002A4D9B" w14:paraId="56DD420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8B7F7CE"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Caerd</w:t>
            </w:r>
          </w:p>
        </w:tc>
        <w:tc>
          <w:tcPr>
            <w:tcW w:w="1248" w:type="dxa"/>
          </w:tcPr>
          <w:p w14:paraId="14AA4419"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118,9</w:t>
            </w:r>
          </w:p>
        </w:tc>
        <w:tc>
          <w:tcPr>
            <w:tcW w:w="1249" w:type="dxa"/>
          </w:tcPr>
          <w:p w14:paraId="630337A4"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158,2</w:t>
            </w:r>
          </w:p>
        </w:tc>
        <w:tc>
          <w:tcPr>
            <w:tcW w:w="1249" w:type="dxa"/>
          </w:tcPr>
          <w:p w14:paraId="0D7A7023"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167,1</w:t>
            </w:r>
          </w:p>
        </w:tc>
        <w:tc>
          <w:tcPr>
            <w:tcW w:w="1178" w:type="dxa"/>
          </w:tcPr>
          <w:p w14:paraId="2D2CB539"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169,77</w:t>
            </w:r>
          </w:p>
        </w:tc>
        <w:tc>
          <w:tcPr>
            <w:tcW w:w="1093" w:type="dxa"/>
          </w:tcPr>
          <w:p w14:paraId="273122A0"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170,94</w:t>
            </w:r>
          </w:p>
        </w:tc>
        <w:tc>
          <w:tcPr>
            <w:tcW w:w="990" w:type="dxa"/>
          </w:tcPr>
          <w:p w14:paraId="230A2294"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165,75</w:t>
            </w:r>
          </w:p>
        </w:tc>
      </w:tr>
      <w:tr w:rsidR="002A4D9B" w:rsidRPr="002A4D9B" w14:paraId="00224C17"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13C1F6E"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Caern</w:t>
            </w:r>
          </w:p>
        </w:tc>
        <w:tc>
          <w:tcPr>
            <w:tcW w:w="1248" w:type="dxa"/>
          </w:tcPr>
          <w:p w14:paraId="7A8E7A9A"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114,8</w:t>
            </w:r>
          </w:p>
        </w:tc>
        <w:tc>
          <w:tcPr>
            <w:tcW w:w="1249" w:type="dxa"/>
          </w:tcPr>
          <w:p w14:paraId="47025644"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116,3</w:t>
            </w:r>
          </w:p>
        </w:tc>
        <w:tc>
          <w:tcPr>
            <w:tcW w:w="1249" w:type="dxa"/>
          </w:tcPr>
          <w:p w14:paraId="3FB43882"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113</w:t>
            </w:r>
          </w:p>
        </w:tc>
        <w:tc>
          <w:tcPr>
            <w:tcW w:w="1178" w:type="dxa"/>
          </w:tcPr>
          <w:p w14:paraId="7FE8A9D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109,85</w:t>
            </w:r>
          </w:p>
        </w:tc>
        <w:tc>
          <w:tcPr>
            <w:tcW w:w="1093" w:type="dxa"/>
          </w:tcPr>
          <w:p w14:paraId="1BC89C6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109,06</w:t>
            </w:r>
          </w:p>
        </w:tc>
        <w:tc>
          <w:tcPr>
            <w:tcW w:w="990" w:type="dxa"/>
          </w:tcPr>
          <w:p w14:paraId="7A2532FF"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108,91</w:t>
            </w:r>
          </w:p>
        </w:tc>
      </w:tr>
      <w:tr w:rsidR="002A4D9B" w:rsidRPr="002A4D9B" w14:paraId="460BCCE4"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ECDADC0"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Caesa</w:t>
            </w:r>
          </w:p>
        </w:tc>
        <w:tc>
          <w:tcPr>
            <w:tcW w:w="1248" w:type="dxa"/>
          </w:tcPr>
          <w:p w14:paraId="738F7CB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146,8</w:t>
            </w:r>
          </w:p>
        </w:tc>
        <w:tc>
          <w:tcPr>
            <w:tcW w:w="1249" w:type="dxa"/>
          </w:tcPr>
          <w:p w14:paraId="62B031C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187,5</w:t>
            </w:r>
          </w:p>
        </w:tc>
        <w:tc>
          <w:tcPr>
            <w:tcW w:w="1249" w:type="dxa"/>
          </w:tcPr>
          <w:p w14:paraId="1C735DA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198,5</w:t>
            </w:r>
          </w:p>
        </w:tc>
        <w:tc>
          <w:tcPr>
            <w:tcW w:w="1178" w:type="dxa"/>
          </w:tcPr>
          <w:p w14:paraId="10DD149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194,88</w:t>
            </w:r>
          </w:p>
        </w:tc>
        <w:tc>
          <w:tcPr>
            <w:tcW w:w="1093" w:type="dxa"/>
          </w:tcPr>
          <w:p w14:paraId="0C6B5918"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135,93</w:t>
            </w:r>
          </w:p>
        </w:tc>
        <w:tc>
          <w:tcPr>
            <w:tcW w:w="990" w:type="dxa"/>
          </w:tcPr>
          <w:p w14:paraId="0D45B3B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163</w:t>
            </w:r>
          </w:p>
        </w:tc>
      </w:tr>
      <w:tr w:rsidR="002A4D9B" w:rsidRPr="002A4D9B" w14:paraId="0E8C03AB"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DC03220"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Caesb</w:t>
            </w:r>
          </w:p>
        </w:tc>
        <w:tc>
          <w:tcPr>
            <w:tcW w:w="1248" w:type="dxa"/>
          </w:tcPr>
          <w:p w14:paraId="614FD3A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183,3</w:t>
            </w:r>
          </w:p>
        </w:tc>
        <w:tc>
          <w:tcPr>
            <w:tcW w:w="1249" w:type="dxa"/>
          </w:tcPr>
          <w:p w14:paraId="4E77D2A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187</w:t>
            </w:r>
          </w:p>
        </w:tc>
        <w:tc>
          <w:tcPr>
            <w:tcW w:w="1249" w:type="dxa"/>
          </w:tcPr>
          <w:p w14:paraId="65D9762F"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188,8</w:t>
            </w:r>
          </w:p>
        </w:tc>
        <w:tc>
          <w:tcPr>
            <w:tcW w:w="1178" w:type="dxa"/>
          </w:tcPr>
          <w:p w14:paraId="6297CC4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189,91</w:t>
            </w:r>
          </w:p>
        </w:tc>
        <w:tc>
          <w:tcPr>
            <w:tcW w:w="1093" w:type="dxa"/>
          </w:tcPr>
          <w:p w14:paraId="7484AC8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180,46</w:t>
            </w:r>
          </w:p>
        </w:tc>
        <w:tc>
          <w:tcPr>
            <w:tcW w:w="990" w:type="dxa"/>
          </w:tcPr>
          <w:p w14:paraId="20DB0CEF"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153,7</w:t>
            </w:r>
          </w:p>
        </w:tc>
      </w:tr>
      <w:tr w:rsidR="002A4D9B" w:rsidRPr="002A4D9B" w14:paraId="559CCDA1"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C757E9B"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lastRenderedPageBreak/>
              <w:t>Cagece</w:t>
            </w:r>
          </w:p>
        </w:tc>
        <w:tc>
          <w:tcPr>
            <w:tcW w:w="1248" w:type="dxa"/>
          </w:tcPr>
          <w:p w14:paraId="3286BEB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141,2</w:t>
            </w:r>
          </w:p>
        </w:tc>
        <w:tc>
          <w:tcPr>
            <w:tcW w:w="1249" w:type="dxa"/>
          </w:tcPr>
          <w:p w14:paraId="764FA4CF"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127,7</w:t>
            </w:r>
          </w:p>
        </w:tc>
        <w:tc>
          <w:tcPr>
            <w:tcW w:w="1249" w:type="dxa"/>
          </w:tcPr>
          <w:p w14:paraId="68727EB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123,6</w:t>
            </w:r>
          </w:p>
        </w:tc>
        <w:tc>
          <w:tcPr>
            <w:tcW w:w="1178" w:type="dxa"/>
          </w:tcPr>
          <w:p w14:paraId="0B74843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126,02</w:t>
            </w:r>
          </w:p>
        </w:tc>
        <w:tc>
          <w:tcPr>
            <w:tcW w:w="1093" w:type="dxa"/>
          </w:tcPr>
          <w:p w14:paraId="1000A88B"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126,55</w:t>
            </w:r>
          </w:p>
        </w:tc>
        <w:tc>
          <w:tcPr>
            <w:tcW w:w="990" w:type="dxa"/>
          </w:tcPr>
          <w:p w14:paraId="044E9452"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127,27</w:t>
            </w:r>
          </w:p>
        </w:tc>
      </w:tr>
      <w:tr w:rsidR="002A4D9B" w:rsidRPr="002A4D9B" w14:paraId="3A0252A5"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B896A08"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Cagepa</w:t>
            </w:r>
          </w:p>
        </w:tc>
        <w:tc>
          <w:tcPr>
            <w:tcW w:w="1248" w:type="dxa"/>
          </w:tcPr>
          <w:p w14:paraId="61B5BF3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107,8</w:t>
            </w:r>
          </w:p>
        </w:tc>
        <w:tc>
          <w:tcPr>
            <w:tcW w:w="1249" w:type="dxa"/>
          </w:tcPr>
          <w:p w14:paraId="1475D38A"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111,3</w:t>
            </w:r>
          </w:p>
        </w:tc>
        <w:tc>
          <w:tcPr>
            <w:tcW w:w="1249" w:type="dxa"/>
          </w:tcPr>
          <w:p w14:paraId="074102D8"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144,1</w:t>
            </w:r>
          </w:p>
        </w:tc>
        <w:tc>
          <w:tcPr>
            <w:tcW w:w="1178" w:type="dxa"/>
          </w:tcPr>
          <w:p w14:paraId="6416C44D"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138,05</w:t>
            </w:r>
          </w:p>
        </w:tc>
        <w:tc>
          <w:tcPr>
            <w:tcW w:w="1093" w:type="dxa"/>
          </w:tcPr>
          <w:p w14:paraId="5875A1C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123,09</w:t>
            </w:r>
          </w:p>
        </w:tc>
        <w:tc>
          <w:tcPr>
            <w:tcW w:w="990" w:type="dxa"/>
          </w:tcPr>
          <w:p w14:paraId="33CC270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107,49</w:t>
            </w:r>
          </w:p>
        </w:tc>
      </w:tr>
      <w:tr w:rsidR="002A4D9B" w:rsidRPr="002A4D9B" w14:paraId="5853E81D"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6295DA2"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Casal</w:t>
            </w:r>
          </w:p>
        </w:tc>
        <w:tc>
          <w:tcPr>
            <w:tcW w:w="1248" w:type="dxa"/>
          </w:tcPr>
          <w:p w14:paraId="7BF9D39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85,3</w:t>
            </w:r>
          </w:p>
        </w:tc>
        <w:tc>
          <w:tcPr>
            <w:tcW w:w="1249" w:type="dxa"/>
          </w:tcPr>
          <w:p w14:paraId="3A370320"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86,4</w:t>
            </w:r>
          </w:p>
        </w:tc>
        <w:tc>
          <w:tcPr>
            <w:tcW w:w="1249" w:type="dxa"/>
          </w:tcPr>
          <w:p w14:paraId="6B7FB02C"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152,6</w:t>
            </w:r>
          </w:p>
        </w:tc>
        <w:tc>
          <w:tcPr>
            <w:tcW w:w="1178" w:type="dxa"/>
          </w:tcPr>
          <w:p w14:paraId="1C96881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88,41</w:t>
            </w:r>
          </w:p>
        </w:tc>
        <w:tc>
          <w:tcPr>
            <w:tcW w:w="1093" w:type="dxa"/>
          </w:tcPr>
          <w:p w14:paraId="55F08B63"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93,15</w:t>
            </w:r>
          </w:p>
        </w:tc>
        <w:tc>
          <w:tcPr>
            <w:tcW w:w="990" w:type="dxa"/>
          </w:tcPr>
          <w:p w14:paraId="0820406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91,4</w:t>
            </w:r>
          </w:p>
        </w:tc>
      </w:tr>
      <w:tr w:rsidR="002A4D9B" w:rsidRPr="002A4D9B" w14:paraId="27BE32FC"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5FC96EC"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Casan</w:t>
            </w:r>
          </w:p>
        </w:tc>
        <w:tc>
          <w:tcPr>
            <w:tcW w:w="1248" w:type="dxa"/>
          </w:tcPr>
          <w:p w14:paraId="6636B546"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128,2</w:t>
            </w:r>
          </w:p>
        </w:tc>
        <w:tc>
          <w:tcPr>
            <w:tcW w:w="1249" w:type="dxa"/>
          </w:tcPr>
          <w:p w14:paraId="5BD51A9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132,9</w:t>
            </w:r>
          </w:p>
        </w:tc>
        <w:tc>
          <w:tcPr>
            <w:tcW w:w="1249" w:type="dxa"/>
          </w:tcPr>
          <w:p w14:paraId="1969FCBB"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138,7</w:t>
            </w:r>
          </w:p>
        </w:tc>
        <w:tc>
          <w:tcPr>
            <w:tcW w:w="1178" w:type="dxa"/>
          </w:tcPr>
          <w:p w14:paraId="12115EAA"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143,86</w:t>
            </w:r>
          </w:p>
        </w:tc>
        <w:tc>
          <w:tcPr>
            <w:tcW w:w="1093" w:type="dxa"/>
          </w:tcPr>
          <w:p w14:paraId="3F69533C"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136,03</w:t>
            </w:r>
          </w:p>
        </w:tc>
        <w:tc>
          <w:tcPr>
            <w:tcW w:w="990" w:type="dxa"/>
          </w:tcPr>
          <w:p w14:paraId="46AAF678"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133,44</w:t>
            </w:r>
          </w:p>
        </w:tc>
      </w:tr>
      <w:tr w:rsidR="002A4D9B" w:rsidRPr="002A4D9B" w14:paraId="1246E4F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6B6BBC6"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Cedae</w:t>
            </w:r>
          </w:p>
        </w:tc>
        <w:tc>
          <w:tcPr>
            <w:tcW w:w="1248" w:type="dxa"/>
          </w:tcPr>
          <w:p w14:paraId="6B4E66AE"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259,8</w:t>
            </w:r>
          </w:p>
        </w:tc>
        <w:tc>
          <w:tcPr>
            <w:tcW w:w="1249" w:type="dxa"/>
          </w:tcPr>
          <w:p w14:paraId="39C6138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258</w:t>
            </w:r>
          </w:p>
        </w:tc>
        <w:tc>
          <w:tcPr>
            <w:tcW w:w="1249" w:type="dxa"/>
          </w:tcPr>
          <w:p w14:paraId="7EE8E940"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265,32</w:t>
            </w:r>
          </w:p>
        </w:tc>
        <w:tc>
          <w:tcPr>
            <w:tcW w:w="1178" w:type="dxa"/>
          </w:tcPr>
          <w:p w14:paraId="48494512"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273,57</w:t>
            </w:r>
          </w:p>
        </w:tc>
        <w:tc>
          <w:tcPr>
            <w:tcW w:w="1093" w:type="dxa"/>
          </w:tcPr>
          <w:p w14:paraId="3DEB9117"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271,54</w:t>
            </w:r>
          </w:p>
        </w:tc>
        <w:tc>
          <w:tcPr>
            <w:tcW w:w="990" w:type="dxa"/>
          </w:tcPr>
          <w:p w14:paraId="1129F91F"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277,72</w:t>
            </w:r>
          </w:p>
        </w:tc>
      </w:tr>
      <w:tr w:rsidR="002A4D9B" w:rsidRPr="002A4D9B" w14:paraId="17A935D2"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4CAB53E"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Cesan</w:t>
            </w:r>
          </w:p>
        </w:tc>
        <w:tc>
          <w:tcPr>
            <w:tcW w:w="1248" w:type="dxa"/>
          </w:tcPr>
          <w:p w14:paraId="2F97D960"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213,5</w:t>
            </w:r>
          </w:p>
        </w:tc>
        <w:tc>
          <w:tcPr>
            <w:tcW w:w="1249" w:type="dxa"/>
          </w:tcPr>
          <w:p w14:paraId="6F7B0726"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207</w:t>
            </w:r>
          </w:p>
        </w:tc>
        <w:tc>
          <w:tcPr>
            <w:tcW w:w="1249" w:type="dxa"/>
          </w:tcPr>
          <w:p w14:paraId="5DCE1D6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205,8</w:t>
            </w:r>
          </w:p>
        </w:tc>
        <w:tc>
          <w:tcPr>
            <w:tcW w:w="1178" w:type="dxa"/>
          </w:tcPr>
          <w:p w14:paraId="474A3E0C"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208,62</w:t>
            </w:r>
          </w:p>
        </w:tc>
        <w:tc>
          <w:tcPr>
            <w:tcW w:w="1093" w:type="dxa"/>
          </w:tcPr>
          <w:p w14:paraId="063B3F75"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215,25</w:t>
            </w:r>
          </w:p>
        </w:tc>
        <w:tc>
          <w:tcPr>
            <w:tcW w:w="990" w:type="dxa"/>
          </w:tcPr>
          <w:p w14:paraId="29FE30F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191,37</w:t>
            </w:r>
          </w:p>
        </w:tc>
      </w:tr>
      <w:tr w:rsidR="002A4D9B" w:rsidRPr="002A4D9B" w14:paraId="23B12F56"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18274B5"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Compesa</w:t>
            </w:r>
          </w:p>
        </w:tc>
        <w:tc>
          <w:tcPr>
            <w:tcW w:w="1248" w:type="dxa"/>
          </w:tcPr>
          <w:p w14:paraId="14C41F2B"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96,1</w:t>
            </w:r>
          </w:p>
        </w:tc>
        <w:tc>
          <w:tcPr>
            <w:tcW w:w="1249" w:type="dxa"/>
          </w:tcPr>
          <w:p w14:paraId="42EC7F2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107,2</w:t>
            </w:r>
          </w:p>
        </w:tc>
        <w:tc>
          <w:tcPr>
            <w:tcW w:w="1249" w:type="dxa"/>
          </w:tcPr>
          <w:p w14:paraId="05D7B0E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109</w:t>
            </w:r>
          </w:p>
        </w:tc>
        <w:tc>
          <w:tcPr>
            <w:tcW w:w="1178" w:type="dxa"/>
          </w:tcPr>
          <w:p w14:paraId="3EAB23D4"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104,99</w:t>
            </w:r>
          </w:p>
        </w:tc>
        <w:tc>
          <w:tcPr>
            <w:tcW w:w="1093" w:type="dxa"/>
          </w:tcPr>
          <w:p w14:paraId="468A4A8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106,2</w:t>
            </w:r>
          </w:p>
        </w:tc>
        <w:tc>
          <w:tcPr>
            <w:tcW w:w="990" w:type="dxa"/>
          </w:tcPr>
          <w:p w14:paraId="425A77C2"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100,55</w:t>
            </w:r>
          </w:p>
        </w:tc>
      </w:tr>
      <w:tr w:rsidR="002A4D9B" w:rsidRPr="002A4D9B" w14:paraId="70E44CA0"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F71B242"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Copasa</w:t>
            </w:r>
          </w:p>
        </w:tc>
        <w:tc>
          <w:tcPr>
            <w:tcW w:w="1248" w:type="dxa"/>
          </w:tcPr>
          <w:p w14:paraId="27D07AC6"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133,9</w:t>
            </w:r>
          </w:p>
        </w:tc>
        <w:tc>
          <w:tcPr>
            <w:tcW w:w="1249" w:type="dxa"/>
          </w:tcPr>
          <w:p w14:paraId="0402CDE2"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143,6</w:t>
            </w:r>
          </w:p>
        </w:tc>
        <w:tc>
          <w:tcPr>
            <w:tcW w:w="1249" w:type="dxa"/>
          </w:tcPr>
          <w:p w14:paraId="7AA1034E"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146,3</w:t>
            </w:r>
          </w:p>
        </w:tc>
        <w:tc>
          <w:tcPr>
            <w:tcW w:w="1178" w:type="dxa"/>
          </w:tcPr>
          <w:p w14:paraId="0E08CDFC"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145,27</w:t>
            </w:r>
          </w:p>
        </w:tc>
        <w:tc>
          <w:tcPr>
            <w:tcW w:w="1093" w:type="dxa"/>
          </w:tcPr>
          <w:p w14:paraId="02D2FFC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141,45</w:t>
            </w:r>
          </w:p>
        </w:tc>
        <w:tc>
          <w:tcPr>
            <w:tcW w:w="990" w:type="dxa"/>
          </w:tcPr>
          <w:p w14:paraId="73AA8CB1"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134,98</w:t>
            </w:r>
          </w:p>
        </w:tc>
      </w:tr>
      <w:tr w:rsidR="002A4D9B" w:rsidRPr="002A4D9B" w14:paraId="29AE499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15C7D4E"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Corsan</w:t>
            </w:r>
          </w:p>
        </w:tc>
        <w:tc>
          <w:tcPr>
            <w:tcW w:w="1248" w:type="dxa"/>
          </w:tcPr>
          <w:p w14:paraId="543FD17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147,7</w:t>
            </w:r>
          </w:p>
        </w:tc>
        <w:tc>
          <w:tcPr>
            <w:tcW w:w="1249" w:type="dxa"/>
          </w:tcPr>
          <w:p w14:paraId="2F535138"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139,2</w:t>
            </w:r>
          </w:p>
        </w:tc>
        <w:tc>
          <w:tcPr>
            <w:tcW w:w="1249" w:type="dxa"/>
          </w:tcPr>
          <w:p w14:paraId="2A5F9CE0"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128,1</w:t>
            </w:r>
          </w:p>
        </w:tc>
        <w:tc>
          <w:tcPr>
            <w:tcW w:w="1178" w:type="dxa"/>
          </w:tcPr>
          <w:p w14:paraId="3111F473"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132,55</w:t>
            </w:r>
          </w:p>
        </w:tc>
        <w:tc>
          <w:tcPr>
            <w:tcW w:w="1093" w:type="dxa"/>
          </w:tcPr>
          <w:p w14:paraId="18DBA6A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152,74</w:t>
            </w:r>
          </w:p>
        </w:tc>
        <w:tc>
          <w:tcPr>
            <w:tcW w:w="990" w:type="dxa"/>
          </w:tcPr>
          <w:p w14:paraId="3D9574CA"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143,77</w:t>
            </w:r>
          </w:p>
        </w:tc>
      </w:tr>
      <w:tr w:rsidR="002A4D9B" w:rsidRPr="002A4D9B" w14:paraId="0A047017"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E4A0863"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Cosanpa</w:t>
            </w:r>
          </w:p>
        </w:tc>
        <w:tc>
          <w:tcPr>
            <w:tcW w:w="1248" w:type="dxa"/>
          </w:tcPr>
          <w:p w14:paraId="19309256"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114,4</w:t>
            </w:r>
          </w:p>
        </w:tc>
        <w:tc>
          <w:tcPr>
            <w:tcW w:w="1249" w:type="dxa"/>
          </w:tcPr>
          <w:p w14:paraId="776AB4F2"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125,8</w:t>
            </w:r>
          </w:p>
        </w:tc>
        <w:tc>
          <w:tcPr>
            <w:tcW w:w="1249" w:type="dxa"/>
          </w:tcPr>
          <w:p w14:paraId="53ACA19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128,8</w:t>
            </w:r>
          </w:p>
        </w:tc>
        <w:tc>
          <w:tcPr>
            <w:tcW w:w="1178" w:type="dxa"/>
          </w:tcPr>
          <w:p w14:paraId="20C043D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127,05</w:t>
            </w:r>
          </w:p>
        </w:tc>
        <w:tc>
          <w:tcPr>
            <w:tcW w:w="1093" w:type="dxa"/>
          </w:tcPr>
          <w:p w14:paraId="0AF6B5F2"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122,4</w:t>
            </w:r>
          </w:p>
        </w:tc>
        <w:tc>
          <w:tcPr>
            <w:tcW w:w="990" w:type="dxa"/>
          </w:tcPr>
          <w:p w14:paraId="35AEB28C"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118,25</w:t>
            </w:r>
          </w:p>
        </w:tc>
      </w:tr>
      <w:tr w:rsidR="002A4D9B" w:rsidRPr="002A4D9B" w14:paraId="303D706C"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74CE3EA"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Depasa</w:t>
            </w:r>
          </w:p>
        </w:tc>
        <w:tc>
          <w:tcPr>
            <w:tcW w:w="1248" w:type="dxa"/>
          </w:tcPr>
          <w:p w14:paraId="0BD085BE"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213,9</w:t>
            </w:r>
          </w:p>
        </w:tc>
        <w:tc>
          <w:tcPr>
            <w:tcW w:w="1249" w:type="dxa"/>
          </w:tcPr>
          <w:p w14:paraId="59A7758E"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157,5</w:t>
            </w:r>
          </w:p>
        </w:tc>
        <w:tc>
          <w:tcPr>
            <w:tcW w:w="1249" w:type="dxa"/>
          </w:tcPr>
          <w:p w14:paraId="0855B6E2"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163,4</w:t>
            </w:r>
          </w:p>
        </w:tc>
        <w:tc>
          <w:tcPr>
            <w:tcW w:w="1178" w:type="dxa"/>
          </w:tcPr>
          <w:p w14:paraId="5B55BDF6"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145,32</w:t>
            </w:r>
          </w:p>
        </w:tc>
        <w:tc>
          <w:tcPr>
            <w:tcW w:w="1093" w:type="dxa"/>
          </w:tcPr>
          <w:p w14:paraId="0365799C"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185,37</w:t>
            </w:r>
          </w:p>
        </w:tc>
        <w:tc>
          <w:tcPr>
            <w:tcW w:w="990" w:type="dxa"/>
          </w:tcPr>
          <w:p w14:paraId="66F7171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169,11</w:t>
            </w:r>
          </w:p>
        </w:tc>
      </w:tr>
      <w:tr w:rsidR="002A4D9B" w:rsidRPr="002A4D9B" w14:paraId="6700ECA8"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00EB960"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Deso</w:t>
            </w:r>
          </w:p>
        </w:tc>
        <w:tc>
          <w:tcPr>
            <w:tcW w:w="1248" w:type="dxa"/>
          </w:tcPr>
          <w:p w14:paraId="0FEA5F0F"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119,6</w:t>
            </w:r>
          </w:p>
        </w:tc>
        <w:tc>
          <w:tcPr>
            <w:tcW w:w="1249" w:type="dxa"/>
          </w:tcPr>
          <w:p w14:paraId="2D4D8B5B"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123,2</w:t>
            </w:r>
          </w:p>
        </w:tc>
        <w:tc>
          <w:tcPr>
            <w:tcW w:w="1249" w:type="dxa"/>
          </w:tcPr>
          <w:p w14:paraId="12E7F1C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124,9</w:t>
            </w:r>
          </w:p>
        </w:tc>
        <w:tc>
          <w:tcPr>
            <w:tcW w:w="1178" w:type="dxa"/>
          </w:tcPr>
          <w:p w14:paraId="673369AF"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123,84</w:t>
            </w:r>
          </w:p>
        </w:tc>
        <w:tc>
          <w:tcPr>
            <w:tcW w:w="1093" w:type="dxa"/>
          </w:tcPr>
          <w:p w14:paraId="3A6A4B3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120,81</w:t>
            </w:r>
          </w:p>
        </w:tc>
        <w:tc>
          <w:tcPr>
            <w:tcW w:w="990" w:type="dxa"/>
          </w:tcPr>
          <w:p w14:paraId="1AD48BB9"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118,89</w:t>
            </w:r>
          </w:p>
        </w:tc>
      </w:tr>
      <w:tr w:rsidR="002A4D9B" w:rsidRPr="002A4D9B" w14:paraId="5A0950D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983C891"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Embasa</w:t>
            </w:r>
          </w:p>
        </w:tc>
        <w:tc>
          <w:tcPr>
            <w:tcW w:w="1248" w:type="dxa"/>
          </w:tcPr>
          <w:p w14:paraId="3FB22CDB"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118,6</w:t>
            </w:r>
          </w:p>
        </w:tc>
        <w:tc>
          <w:tcPr>
            <w:tcW w:w="1249" w:type="dxa"/>
          </w:tcPr>
          <w:p w14:paraId="316FA0A8"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115,4</w:t>
            </w:r>
          </w:p>
        </w:tc>
        <w:tc>
          <w:tcPr>
            <w:tcW w:w="1249" w:type="dxa"/>
          </w:tcPr>
          <w:p w14:paraId="2273115E"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111,8</w:t>
            </w:r>
          </w:p>
        </w:tc>
        <w:tc>
          <w:tcPr>
            <w:tcW w:w="1178" w:type="dxa"/>
          </w:tcPr>
          <w:p w14:paraId="336E0FC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105,75</w:t>
            </w:r>
          </w:p>
        </w:tc>
        <w:tc>
          <w:tcPr>
            <w:tcW w:w="1093" w:type="dxa"/>
          </w:tcPr>
          <w:p w14:paraId="2060FE58"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108,01</w:t>
            </w:r>
          </w:p>
        </w:tc>
        <w:tc>
          <w:tcPr>
            <w:tcW w:w="990" w:type="dxa"/>
          </w:tcPr>
          <w:p w14:paraId="440A4BC3"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107,94</w:t>
            </w:r>
          </w:p>
        </w:tc>
      </w:tr>
      <w:tr w:rsidR="002A4D9B" w:rsidRPr="002A4D9B" w14:paraId="2763151C"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26FB34E"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Sabesp</w:t>
            </w:r>
          </w:p>
        </w:tc>
        <w:tc>
          <w:tcPr>
            <w:tcW w:w="1248" w:type="dxa"/>
          </w:tcPr>
          <w:p w14:paraId="023E97B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174,7</w:t>
            </w:r>
          </w:p>
        </w:tc>
        <w:tc>
          <w:tcPr>
            <w:tcW w:w="1249" w:type="dxa"/>
          </w:tcPr>
          <w:p w14:paraId="364E51C5"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176,3</w:t>
            </w:r>
          </w:p>
        </w:tc>
        <w:tc>
          <w:tcPr>
            <w:tcW w:w="1249" w:type="dxa"/>
          </w:tcPr>
          <w:p w14:paraId="75A3BEB1"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179,8</w:t>
            </w:r>
          </w:p>
        </w:tc>
        <w:tc>
          <w:tcPr>
            <w:tcW w:w="1178" w:type="dxa"/>
          </w:tcPr>
          <w:p w14:paraId="25D79220"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178,6</w:t>
            </w:r>
          </w:p>
        </w:tc>
        <w:tc>
          <w:tcPr>
            <w:tcW w:w="1093" w:type="dxa"/>
          </w:tcPr>
          <w:p w14:paraId="5A0D98FC"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167,16</w:t>
            </w:r>
          </w:p>
        </w:tc>
        <w:tc>
          <w:tcPr>
            <w:tcW w:w="990" w:type="dxa"/>
          </w:tcPr>
          <w:p w14:paraId="56B2E0B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146,81</w:t>
            </w:r>
          </w:p>
        </w:tc>
      </w:tr>
      <w:tr w:rsidR="002A4D9B" w:rsidRPr="002A4D9B" w14:paraId="1C963A15"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F2DA419"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Saneago</w:t>
            </w:r>
          </w:p>
        </w:tc>
        <w:tc>
          <w:tcPr>
            <w:tcW w:w="1248" w:type="dxa"/>
          </w:tcPr>
          <w:p w14:paraId="34FD0D27"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135,7</w:t>
            </w:r>
          </w:p>
        </w:tc>
        <w:tc>
          <w:tcPr>
            <w:tcW w:w="1249" w:type="dxa"/>
          </w:tcPr>
          <w:p w14:paraId="6AEE623D"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140,1</w:t>
            </w:r>
          </w:p>
        </w:tc>
        <w:tc>
          <w:tcPr>
            <w:tcW w:w="1249" w:type="dxa"/>
          </w:tcPr>
          <w:p w14:paraId="563BAC87"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144,4</w:t>
            </w:r>
          </w:p>
        </w:tc>
        <w:tc>
          <w:tcPr>
            <w:tcW w:w="1178" w:type="dxa"/>
          </w:tcPr>
          <w:p w14:paraId="4A56A650"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143,4</w:t>
            </w:r>
          </w:p>
        </w:tc>
        <w:tc>
          <w:tcPr>
            <w:tcW w:w="1093" w:type="dxa"/>
          </w:tcPr>
          <w:p w14:paraId="79371AC8"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142,97</w:t>
            </w:r>
          </w:p>
        </w:tc>
        <w:tc>
          <w:tcPr>
            <w:tcW w:w="990" w:type="dxa"/>
          </w:tcPr>
          <w:p w14:paraId="520B750C"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136,28</w:t>
            </w:r>
          </w:p>
        </w:tc>
      </w:tr>
      <w:tr w:rsidR="002A4D9B" w:rsidRPr="002A4D9B" w14:paraId="62BC886C"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A3F009C"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Saneatins</w:t>
            </w:r>
          </w:p>
        </w:tc>
        <w:tc>
          <w:tcPr>
            <w:tcW w:w="1248" w:type="dxa"/>
          </w:tcPr>
          <w:p w14:paraId="6E07375D"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135</w:t>
            </w:r>
          </w:p>
        </w:tc>
        <w:tc>
          <w:tcPr>
            <w:tcW w:w="1249" w:type="dxa"/>
          </w:tcPr>
          <w:p w14:paraId="25E3CAB2"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129,2</w:t>
            </w:r>
          </w:p>
        </w:tc>
        <w:tc>
          <w:tcPr>
            <w:tcW w:w="1249" w:type="dxa"/>
          </w:tcPr>
          <w:p w14:paraId="2EE3D55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138</w:t>
            </w:r>
          </w:p>
        </w:tc>
        <w:tc>
          <w:tcPr>
            <w:tcW w:w="1178" w:type="dxa"/>
          </w:tcPr>
          <w:p w14:paraId="757B8FA4"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129,94</w:t>
            </w:r>
          </w:p>
        </w:tc>
        <w:tc>
          <w:tcPr>
            <w:tcW w:w="1093" w:type="dxa"/>
          </w:tcPr>
          <w:p w14:paraId="2042732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135,02</w:t>
            </w:r>
          </w:p>
        </w:tc>
        <w:tc>
          <w:tcPr>
            <w:tcW w:w="990" w:type="dxa"/>
          </w:tcPr>
          <w:p w14:paraId="30485A4A"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129,25</w:t>
            </w:r>
          </w:p>
        </w:tc>
      </w:tr>
      <w:tr w:rsidR="002A4D9B" w:rsidRPr="002A4D9B" w14:paraId="595B5CC9"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5CA7245"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Sanepar</w:t>
            </w:r>
          </w:p>
        </w:tc>
        <w:tc>
          <w:tcPr>
            <w:tcW w:w="1248" w:type="dxa"/>
          </w:tcPr>
          <w:p w14:paraId="728EB581"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135,2</w:t>
            </w:r>
          </w:p>
        </w:tc>
        <w:tc>
          <w:tcPr>
            <w:tcW w:w="1249" w:type="dxa"/>
          </w:tcPr>
          <w:p w14:paraId="67D5FA31"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142,1</w:t>
            </w:r>
          </w:p>
        </w:tc>
        <w:tc>
          <w:tcPr>
            <w:tcW w:w="1249" w:type="dxa"/>
          </w:tcPr>
          <w:p w14:paraId="16EC0C09"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145,1</w:t>
            </w:r>
          </w:p>
        </w:tc>
        <w:tc>
          <w:tcPr>
            <w:tcW w:w="1178" w:type="dxa"/>
          </w:tcPr>
          <w:p w14:paraId="78966DC3"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141,74</w:t>
            </w:r>
          </w:p>
        </w:tc>
        <w:tc>
          <w:tcPr>
            <w:tcW w:w="1093" w:type="dxa"/>
          </w:tcPr>
          <w:p w14:paraId="3DFDD065"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142,77</w:t>
            </w:r>
          </w:p>
        </w:tc>
        <w:tc>
          <w:tcPr>
            <w:tcW w:w="990" w:type="dxa"/>
          </w:tcPr>
          <w:p w14:paraId="4D308496" w14:textId="77777777" w:rsidR="002A4D9B" w:rsidRPr="00EA348F" w:rsidRDefault="002A4D9B">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136,49</w:t>
            </w:r>
          </w:p>
        </w:tc>
      </w:tr>
      <w:tr w:rsidR="002A4D9B" w:rsidRPr="002A4D9B" w14:paraId="111908B1" w14:textId="77777777" w:rsidTr="002A4D9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103733F" w14:textId="77777777" w:rsidR="002A4D9B" w:rsidRPr="00EA348F" w:rsidRDefault="002A4D9B">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Sanesul</w:t>
            </w:r>
          </w:p>
        </w:tc>
        <w:tc>
          <w:tcPr>
            <w:tcW w:w="1248" w:type="dxa"/>
          </w:tcPr>
          <w:p w14:paraId="1C6904C4"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130,2</w:t>
            </w:r>
          </w:p>
        </w:tc>
        <w:tc>
          <w:tcPr>
            <w:tcW w:w="1249" w:type="dxa"/>
          </w:tcPr>
          <w:p w14:paraId="03E8949F"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142,2</w:t>
            </w:r>
          </w:p>
        </w:tc>
        <w:tc>
          <w:tcPr>
            <w:tcW w:w="1249" w:type="dxa"/>
          </w:tcPr>
          <w:p w14:paraId="0C9A3AD5"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147,4</w:t>
            </w:r>
          </w:p>
        </w:tc>
        <w:tc>
          <w:tcPr>
            <w:tcW w:w="1178" w:type="dxa"/>
          </w:tcPr>
          <w:p w14:paraId="13CFB128"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144,15</w:t>
            </w:r>
          </w:p>
        </w:tc>
        <w:tc>
          <w:tcPr>
            <w:tcW w:w="1093" w:type="dxa"/>
          </w:tcPr>
          <w:p w14:paraId="21CC12B7"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144,16</w:t>
            </w:r>
          </w:p>
        </w:tc>
        <w:tc>
          <w:tcPr>
            <w:tcW w:w="990" w:type="dxa"/>
          </w:tcPr>
          <w:p w14:paraId="2CF6BF63" w14:textId="77777777" w:rsidR="002A4D9B" w:rsidRPr="00EA348F" w:rsidRDefault="002A4D9B">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141,06</w:t>
            </w:r>
          </w:p>
        </w:tc>
      </w:tr>
    </w:tbl>
    <w:p w14:paraId="7C48640C" w14:textId="797B97D3" w:rsidR="003862F2" w:rsidRPr="00042F25" w:rsidRDefault="003862F2" w:rsidP="003862F2">
      <w:pPr>
        <w:pStyle w:val="Descripcin"/>
        <w:spacing w:before="0" w:beforeAutospacing="0"/>
        <w:jc w:val="left"/>
        <w:rPr>
          <w:sz w:val="20"/>
        </w:rPr>
      </w:pPr>
      <w:r w:rsidRPr="00042F25">
        <w:rPr>
          <w:sz w:val="20"/>
        </w:rPr>
        <w:t>Fonte: SNIS 2015. Elaborado por: GO Associados</w:t>
      </w:r>
    </w:p>
    <w:p w14:paraId="614423D2" w14:textId="163C0E4A" w:rsidR="0001351C" w:rsidRDefault="0001351C" w:rsidP="00EA348F">
      <w:pPr>
        <w:pStyle w:val="Descripcin"/>
        <w:ind w:left="709" w:hanging="709"/>
      </w:pPr>
      <w:bookmarkStart w:id="14" w:name="_Toc493222471"/>
      <w:r w:rsidRPr="00042F25">
        <w:t xml:space="preserve">Quadro </w:t>
      </w:r>
      <w:fldSimple w:instr=" SEQ Quadro \* ARABIC ">
        <w:r w:rsidR="00B64D1C" w:rsidRPr="00042F25">
          <w:rPr>
            <w:noProof/>
          </w:rPr>
          <w:t>7</w:t>
        </w:r>
      </w:fldSimple>
      <w:r w:rsidRPr="00042F25">
        <w:t xml:space="preserve"> – Consumo Médio de Água por Economia (IN053)</w:t>
      </w:r>
      <w:bookmarkEnd w:id="14"/>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2A4D9B" w:rsidRPr="002A4D9B" w14:paraId="2622A4B5"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A7D9AF2" w14:textId="77777777" w:rsidR="002A4D9B" w:rsidRPr="00EA348F" w:rsidRDefault="002A4D9B" w:rsidP="002A4D9B">
            <w:pPr>
              <w:spacing w:before="0" w:beforeAutospacing="0" w:after="0" w:afterAutospacing="0" w:line="240" w:lineRule="auto"/>
              <w:ind w:firstLine="0"/>
              <w:jc w:val="left"/>
              <w:rPr>
                <w:color w:val="FFFFFF"/>
                <w:sz w:val="22"/>
                <w:lang w:eastAsia="es-CO"/>
              </w:rPr>
            </w:pPr>
            <w:r w:rsidRPr="002A4D9B">
              <w:rPr>
                <w:color w:val="FFFFFF"/>
                <w:sz w:val="22"/>
                <w:lang w:eastAsia="es-CO"/>
              </w:rPr>
              <w:t>Empresa</w:t>
            </w:r>
          </w:p>
        </w:tc>
        <w:tc>
          <w:tcPr>
            <w:tcW w:w="1248" w:type="dxa"/>
            <w:hideMark/>
          </w:tcPr>
          <w:p w14:paraId="6FAE24A8" w14:textId="77777777" w:rsidR="002A4D9B" w:rsidRPr="00EA348F" w:rsidRDefault="002A4D9B" w:rsidP="002A4D9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2010</w:t>
            </w:r>
          </w:p>
        </w:tc>
        <w:tc>
          <w:tcPr>
            <w:tcW w:w="1249" w:type="dxa"/>
            <w:hideMark/>
          </w:tcPr>
          <w:p w14:paraId="06C12CB5" w14:textId="77777777" w:rsidR="002A4D9B" w:rsidRPr="00EA348F" w:rsidRDefault="002A4D9B" w:rsidP="002A4D9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2011</w:t>
            </w:r>
          </w:p>
        </w:tc>
        <w:tc>
          <w:tcPr>
            <w:tcW w:w="1249" w:type="dxa"/>
            <w:hideMark/>
          </w:tcPr>
          <w:p w14:paraId="3BDCCFFB" w14:textId="77777777" w:rsidR="002A4D9B" w:rsidRPr="00EA348F" w:rsidRDefault="002A4D9B" w:rsidP="002A4D9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2012</w:t>
            </w:r>
          </w:p>
        </w:tc>
        <w:tc>
          <w:tcPr>
            <w:tcW w:w="1178" w:type="dxa"/>
            <w:hideMark/>
          </w:tcPr>
          <w:p w14:paraId="21239AD0" w14:textId="77777777" w:rsidR="002A4D9B" w:rsidRPr="00EA348F" w:rsidRDefault="002A4D9B" w:rsidP="002A4D9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2013</w:t>
            </w:r>
          </w:p>
        </w:tc>
        <w:tc>
          <w:tcPr>
            <w:tcW w:w="1093" w:type="dxa"/>
            <w:hideMark/>
          </w:tcPr>
          <w:p w14:paraId="6DF6F41A" w14:textId="77777777" w:rsidR="002A4D9B" w:rsidRPr="00EA348F" w:rsidRDefault="002A4D9B" w:rsidP="002A4D9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2014</w:t>
            </w:r>
          </w:p>
        </w:tc>
        <w:tc>
          <w:tcPr>
            <w:tcW w:w="990" w:type="dxa"/>
            <w:hideMark/>
          </w:tcPr>
          <w:p w14:paraId="35FF81C8" w14:textId="77777777" w:rsidR="002A4D9B" w:rsidRPr="00EA348F" w:rsidRDefault="002A4D9B" w:rsidP="002A4D9B">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2015</w:t>
            </w:r>
          </w:p>
        </w:tc>
      </w:tr>
      <w:tr w:rsidR="002A4D9B" w:rsidRPr="002A4D9B" w14:paraId="6126185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A157F6F"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Agespisa</w:t>
            </w:r>
          </w:p>
        </w:tc>
        <w:tc>
          <w:tcPr>
            <w:tcW w:w="1248" w:type="dxa"/>
            <w:hideMark/>
          </w:tcPr>
          <w:p w14:paraId="45C68A55"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11,1</w:t>
            </w:r>
          </w:p>
        </w:tc>
        <w:tc>
          <w:tcPr>
            <w:tcW w:w="1249" w:type="dxa"/>
            <w:hideMark/>
          </w:tcPr>
          <w:p w14:paraId="6CB5C3E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11,1</w:t>
            </w:r>
          </w:p>
        </w:tc>
        <w:tc>
          <w:tcPr>
            <w:tcW w:w="1249" w:type="dxa"/>
            <w:hideMark/>
          </w:tcPr>
          <w:p w14:paraId="14288940"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11,7</w:t>
            </w:r>
          </w:p>
        </w:tc>
        <w:tc>
          <w:tcPr>
            <w:tcW w:w="1178" w:type="dxa"/>
            <w:hideMark/>
          </w:tcPr>
          <w:p w14:paraId="72260F20"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11,87</w:t>
            </w:r>
          </w:p>
        </w:tc>
        <w:tc>
          <w:tcPr>
            <w:tcW w:w="1093" w:type="dxa"/>
            <w:hideMark/>
          </w:tcPr>
          <w:p w14:paraId="391F2547"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12,02</w:t>
            </w:r>
          </w:p>
        </w:tc>
        <w:tc>
          <w:tcPr>
            <w:tcW w:w="990" w:type="dxa"/>
            <w:hideMark/>
          </w:tcPr>
          <w:p w14:paraId="7AE5E8E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11,79</w:t>
            </w:r>
          </w:p>
        </w:tc>
      </w:tr>
      <w:tr w:rsidR="002A4D9B" w:rsidRPr="002A4D9B" w14:paraId="7368AF9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D811488"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Caema</w:t>
            </w:r>
          </w:p>
        </w:tc>
        <w:tc>
          <w:tcPr>
            <w:tcW w:w="1248" w:type="dxa"/>
            <w:hideMark/>
          </w:tcPr>
          <w:p w14:paraId="2BFD651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13,6</w:t>
            </w:r>
          </w:p>
        </w:tc>
        <w:tc>
          <w:tcPr>
            <w:tcW w:w="1249" w:type="dxa"/>
            <w:hideMark/>
          </w:tcPr>
          <w:p w14:paraId="331C32B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17,3</w:t>
            </w:r>
          </w:p>
        </w:tc>
        <w:tc>
          <w:tcPr>
            <w:tcW w:w="1249" w:type="dxa"/>
            <w:hideMark/>
          </w:tcPr>
          <w:p w14:paraId="5BD19C7F"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w:t>
            </w:r>
          </w:p>
        </w:tc>
        <w:tc>
          <w:tcPr>
            <w:tcW w:w="1178" w:type="dxa"/>
            <w:hideMark/>
          </w:tcPr>
          <w:p w14:paraId="136D9911"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27,66</w:t>
            </w:r>
          </w:p>
        </w:tc>
        <w:tc>
          <w:tcPr>
            <w:tcW w:w="1093" w:type="dxa"/>
            <w:hideMark/>
          </w:tcPr>
          <w:p w14:paraId="6E95EE5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14,62</w:t>
            </w:r>
          </w:p>
        </w:tc>
        <w:tc>
          <w:tcPr>
            <w:tcW w:w="990" w:type="dxa"/>
            <w:hideMark/>
          </w:tcPr>
          <w:p w14:paraId="08E5CFF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14,16</w:t>
            </w:r>
          </w:p>
        </w:tc>
      </w:tr>
      <w:tr w:rsidR="002A4D9B" w:rsidRPr="002A4D9B" w14:paraId="33432F3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2243049"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Caer</w:t>
            </w:r>
          </w:p>
        </w:tc>
        <w:tc>
          <w:tcPr>
            <w:tcW w:w="1248" w:type="dxa"/>
            <w:hideMark/>
          </w:tcPr>
          <w:p w14:paraId="115D157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19</w:t>
            </w:r>
          </w:p>
        </w:tc>
        <w:tc>
          <w:tcPr>
            <w:tcW w:w="1249" w:type="dxa"/>
            <w:hideMark/>
          </w:tcPr>
          <w:p w14:paraId="3B0E6CB9"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17</w:t>
            </w:r>
          </w:p>
        </w:tc>
        <w:tc>
          <w:tcPr>
            <w:tcW w:w="1249" w:type="dxa"/>
            <w:hideMark/>
          </w:tcPr>
          <w:p w14:paraId="336DC8E7"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18,5</w:t>
            </w:r>
          </w:p>
        </w:tc>
        <w:tc>
          <w:tcPr>
            <w:tcW w:w="1178" w:type="dxa"/>
            <w:hideMark/>
          </w:tcPr>
          <w:p w14:paraId="15C11BA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17,18</w:t>
            </w:r>
          </w:p>
        </w:tc>
        <w:tc>
          <w:tcPr>
            <w:tcW w:w="1093" w:type="dxa"/>
            <w:hideMark/>
          </w:tcPr>
          <w:p w14:paraId="2C4E0E43"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18,22</w:t>
            </w:r>
          </w:p>
        </w:tc>
        <w:tc>
          <w:tcPr>
            <w:tcW w:w="990" w:type="dxa"/>
            <w:hideMark/>
          </w:tcPr>
          <w:p w14:paraId="4985F635"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19,06</w:t>
            </w:r>
          </w:p>
        </w:tc>
      </w:tr>
      <w:tr w:rsidR="002A4D9B" w:rsidRPr="002A4D9B" w14:paraId="550D77F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37804C9"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Caerd</w:t>
            </w:r>
          </w:p>
        </w:tc>
        <w:tc>
          <w:tcPr>
            <w:tcW w:w="1248" w:type="dxa"/>
            <w:hideMark/>
          </w:tcPr>
          <w:p w14:paraId="1E5C73C1"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w:t>
            </w:r>
          </w:p>
        </w:tc>
        <w:tc>
          <w:tcPr>
            <w:tcW w:w="1249" w:type="dxa"/>
            <w:hideMark/>
          </w:tcPr>
          <w:p w14:paraId="5BD179B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17,3</w:t>
            </w:r>
          </w:p>
        </w:tc>
        <w:tc>
          <w:tcPr>
            <w:tcW w:w="1249" w:type="dxa"/>
            <w:hideMark/>
          </w:tcPr>
          <w:p w14:paraId="0E367F8D"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16,5</w:t>
            </w:r>
          </w:p>
        </w:tc>
        <w:tc>
          <w:tcPr>
            <w:tcW w:w="1178" w:type="dxa"/>
            <w:hideMark/>
          </w:tcPr>
          <w:p w14:paraId="5BC80E8D"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15,87</w:t>
            </w:r>
          </w:p>
        </w:tc>
        <w:tc>
          <w:tcPr>
            <w:tcW w:w="1093" w:type="dxa"/>
            <w:hideMark/>
          </w:tcPr>
          <w:p w14:paraId="24E3184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16,15</w:t>
            </w:r>
          </w:p>
        </w:tc>
        <w:tc>
          <w:tcPr>
            <w:tcW w:w="990" w:type="dxa"/>
            <w:hideMark/>
          </w:tcPr>
          <w:p w14:paraId="3726581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16,43</w:t>
            </w:r>
          </w:p>
        </w:tc>
      </w:tr>
      <w:tr w:rsidR="002A4D9B" w:rsidRPr="002A4D9B" w14:paraId="41D9927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0BF2462"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Caern</w:t>
            </w:r>
          </w:p>
        </w:tc>
        <w:tc>
          <w:tcPr>
            <w:tcW w:w="1248" w:type="dxa"/>
            <w:hideMark/>
          </w:tcPr>
          <w:p w14:paraId="3FE3702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10,8</w:t>
            </w:r>
          </w:p>
        </w:tc>
        <w:tc>
          <w:tcPr>
            <w:tcW w:w="1249" w:type="dxa"/>
            <w:hideMark/>
          </w:tcPr>
          <w:p w14:paraId="135397D7"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10,7</w:t>
            </w:r>
          </w:p>
        </w:tc>
        <w:tc>
          <w:tcPr>
            <w:tcW w:w="1249" w:type="dxa"/>
            <w:hideMark/>
          </w:tcPr>
          <w:p w14:paraId="08F4CD1B"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10,7</w:t>
            </w:r>
          </w:p>
        </w:tc>
        <w:tc>
          <w:tcPr>
            <w:tcW w:w="1178" w:type="dxa"/>
            <w:hideMark/>
          </w:tcPr>
          <w:p w14:paraId="326D288D"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10,71</w:t>
            </w:r>
          </w:p>
        </w:tc>
        <w:tc>
          <w:tcPr>
            <w:tcW w:w="1093" w:type="dxa"/>
            <w:hideMark/>
          </w:tcPr>
          <w:p w14:paraId="20B9755A"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10,59</w:t>
            </w:r>
          </w:p>
        </w:tc>
        <w:tc>
          <w:tcPr>
            <w:tcW w:w="990" w:type="dxa"/>
            <w:hideMark/>
          </w:tcPr>
          <w:p w14:paraId="05D7C628"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10,27</w:t>
            </w:r>
          </w:p>
        </w:tc>
      </w:tr>
      <w:tr w:rsidR="002A4D9B" w:rsidRPr="002A4D9B" w14:paraId="0A34062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2D3F5CE"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Caesa</w:t>
            </w:r>
          </w:p>
        </w:tc>
        <w:tc>
          <w:tcPr>
            <w:tcW w:w="1248" w:type="dxa"/>
            <w:hideMark/>
          </w:tcPr>
          <w:p w14:paraId="2889CA3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17,8</w:t>
            </w:r>
          </w:p>
        </w:tc>
        <w:tc>
          <w:tcPr>
            <w:tcW w:w="1249" w:type="dxa"/>
            <w:hideMark/>
          </w:tcPr>
          <w:p w14:paraId="492036F0"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21,3</w:t>
            </w:r>
          </w:p>
        </w:tc>
        <w:tc>
          <w:tcPr>
            <w:tcW w:w="1249" w:type="dxa"/>
            <w:hideMark/>
          </w:tcPr>
          <w:p w14:paraId="73E8788A"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22,5</w:t>
            </w:r>
          </w:p>
        </w:tc>
        <w:tc>
          <w:tcPr>
            <w:tcW w:w="1178" w:type="dxa"/>
            <w:hideMark/>
          </w:tcPr>
          <w:p w14:paraId="386540CB"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22,16</w:t>
            </w:r>
          </w:p>
        </w:tc>
        <w:tc>
          <w:tcPr>
            <w:tcW w:w="1093" w:type="dxa"/>
            <w:hideMark/>
          </w:tcPr>
          <w:p w14:paraId="1F736C90"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15,56</w:t>
            </w:r>
          </w:p>
        </w:tc>
        <w:tc>
          <w:tcPr>
            <w:tcW w:w="990" w:type="dxa"/>
            <w:hideMark/>
          </w:tcPr>
          <w:p w14:paraId="2A18885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18,47</w:t>
            </w:r>
          </w:p>
        </w:tc>
      </w:tr>
      <w:tr w:rsidR="002A4D9B" w:rsidRPr="002A4D9B" w14:paraId="2D740AF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8DD63CF"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Caesb</w:t>
            </w:r>
          </w:p>
        </w:tc>
        <w:tc>
          <w:tcPr>
            <w:tcW w:w="1248" w:type="dxa"/>
            <w:hideMark/>
          </w:tcPr>
          <w:p w14:paraId="304ABAEA"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16,2</w:t>
            </w:r>
          </w:p>
        </w:tc>
        <w:tc>
          <w:tcPr>
            <w:tcW w:w="1249" w:type="dxa"/>
            <w:hideMark/>
          </w:tcPr>
          <w:p w14:paraId="3DF17E1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15,8</w:t>
            </w:r>
          </w:p>
        </w:tc>
        <w:tc>
          <w:tcPr>
            <w:tcW w:w="1249" w:type="dxa"/>
            <w:hideMark/>
          </w:tcPr>
          <w:p w14:paraId="7480404D"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15,5</w:t>
            </w:r>
          </w:p>
        </w:tc>
        <w:tc>
          <w:tcPr>
            <w:tcW w:w="1178" w:type="dxa"/>
            <w:hideMark/>
          </w:tcPr>
          <w:p w14:paraId="772FD06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15,89</w:t>
            </w:r>
          </w:p>
        </w:tc>
        <w:tc>
          <w:tcPr>
            <w:tcW w:w="1093" w:type="dxa"/>
            <w:hideMark/>
          </w:tcPr>
          <w:p w14:paraId="005A877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15,72</w:t>
            </w:r>
          </w:p>
        </w:tc>
        <w:tc>
          <w:tcPr>
            <w:tcW w:w="990" w:type="dxa"/>
            <w:hideMark/>
          </w:tcPr>
          <w:p w14:paraId="2C0A97F3"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13,39</w:t>
            </w:r>
          </w:p>
        </w:tc>
      </w:tr>
      <w:tr w:rsidR="002A4D9B" w:rsidRPr="002A4D9B" w14:paraId="23E5DFF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7D564BE"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Cagece</w:t>
            </w:r>
          </w:p>
        </w:tc>
        <w:tc>
          <w:tcPr>
            <w:tcW w:w="1248" w:type="dxa"/>
            <w:hideMark/>
          </w:tcPr>
          <w:p w14:paraId="3086C403"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11,8</w:t>
            </w:r>
          </w:p>
        </w:tc>
        <w:tc>
          <w:tcPr>
            <w:tcW w:w="1249" w:type="dxa"/>
            <w:hideMark/>
          </w:tcPr>
          <w:p w14:paraId="3D1A6BA6"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11,5</w:t>
            </w:r>
          </w:p>
        </w:tc>
        <w:tc>
          <w:tcPr>
            <w:tcW w:w="1249" w:type="dxa"/>
            <w:hideMark/>
          </w:tcPr>
          <w:p w14:paraId="39A0A0DD"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11,4</w:t>
            </w:r>
          </w:p>
        </w:tc>
        <w:tc>
          <w:tcPr>
            <w:tcW w:w="1178" w:type="dxa"/>
            <w:hideMark/>
          </w:tcPr>
          <w:p w14:paraId="624804CA"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10,99</w:t>
            </w:r>
          </w:p>
        </w:tc>
        <w:tc>
          <w:tcPr>
            <w:tcW w:w="1093" w:type="dxa"/>
            <w:hideMark/>
          </w:tcPr>
          <w:p w14:paraId="7FECB6A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10,31</w:t>
            </w:r>
          </w:p>
        </w:tc>
        <w:tc>
          <w:tcPr>
            <w:tcW w:w="990" w:type="dxa"/>
            <w:hideMark/>
          </w:tcPr>
          <w:p w14:paraId="37286635"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9,62</w:t>
            </w:r>
          </w:p>
        </w:tc>
      </w:tr>
      <w:tr w:rsidR="002A4D9B" w:rsidRPr="002A4D9B" w14:paraId="137F21E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4CEB37E"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Cagepa</w:t>
            </w:r>
          </w:p>
        </w:tc>
        <w:tc>
          <w:tcPr>
            <w:tcW w:w="1248" w:type="dxa"/>
            <w:hideMark/>
          </w:tcPr>
          <w:p w14:paraId="48C8C6A9"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10,8</w:t>
            </w:r>
          </w:p>
        </w:tc>
        <w:tc>
          <w:tcPr>
            <w:tcW w:w="1249" w:type="dxa"/>
            <w:hideMark/>
          </w:tcPr>
          <w:p w14:paraId="597A0BB9"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10,6</w:t>
            </w:r>
          </w:p>
        </w:tc>
        <w:tc>
          <w:tcPr>
            <w:tcW w:w="1249" w:type="dxa"/>
            <w:hideMark/>
          </w:tcPr>
          <w:p w14:paraId="3A20993D"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13,5</w:t>
            </w:r>
          </w:p>
        </w:tc>
        <w:tc>
          <w:tcPr>
            <w:tcW w:w="1178" w:type="dxa"/>
            <w:hideMark/>
          </w:tcPr>
          <w:p w14:paraId="0FA39B9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13,14</w:t>
            </w:r>
          </w:p>
        </w:tc>
        <w:tc>
          <w:tcPr>
            <w:tcW w:w="1093" w:type="dxa"/>
            <w:hideMark/>
          </w:tcPr>
          <w:p w14:paraId="1295C9CD"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11,83</w:t>
            </w:r>
          </w:p>
        </w:tc>
        <w:tc>
          <w:tcPr>
            <w:tcW w:w="990" w:type="dxa"/>
            <w:hideMark/>
          </w:tcPr>
          <w:p w14:paraId="176B894E"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10,22</w:t>
            </w:r>
          </w:p>
        </w:tc>
      </w:tr>
      <w:tr w:rsidR="002A4D9B" w:rsidRPr="002A4D9B" w14:paraId="1A6059D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F451123"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Casal</w:t>
            </w:r>
          </w:p>
        </w:tc>
        <w:tc>
          <w:tcPr>
            <w:tcW w:w="1248" w:type="dxa"/>
            <w:hideMark/>
          </w:tcPr>
          <w:p w14:paraId="67AF1A3E"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10,8</w:t>
            </w:r>
          </w:p>
        </w:tc>
        <w:tc>
          <w:tcPr>
            <w:tcW w:w="1249" w:type="dxa"/>
            <w:hideMark/>
          </w:tcPr>
          <w:p w14:paraId="438EB50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10,9</w:t>
            </w:r>
          </w:p>
        </w:tc>
        <w:tc>
          <w:tcPr>
            <w:tcW w:w="1249" w:type="dxa"/>
            <w:hideMark/>
          </w:tcPr>
          <w:p w14:paraId="54C2EA90"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19,5</w:t>
            </w:r>
          </w:p>
        </w:tc>
        <w:tc>
          <w:tcPr>
            <w:tcW w:w="1178" w:type="dxa"/>
            <w:hideMark/>
          </w:tcPr>
          <w:p w14:paraId="54AD722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11,34</w:t>
            </w:r>
          </w:p>
        </w:tc>
        <w:tc>
          <w:tcPr>
            <w:tcW w:w="1093" w:type="dxa"/>
            <w:hideMark/>
          </w:tcPr>
          <w:p w14:paraId="1D01F65A"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11,99</w:t>
            </w:r>
          </w:p>
        </w:tc>
        <w:tc>
          <w:tcPr>
            <w:tcW w:w="990" w:type="dxa"/>
            <w:hideMark/>
          </w:tcPr>
          <w:p w14:paraId="6F54918A"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11,78</w:t>
            </w:r>
          </w:p>
        </w:tc>
      </w:tr>
      <w:tr w:rsidR="002A4D9B" w:rsidRPr="002A4D9B" w14:paraId="7135044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D634692"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Casan</w:t>
            </w:r>
          </w:p>
        </w:tc>
        <w:tc>
          <w:tcPr>
            <w:tcW w:w="1248" w:type="dxa"/>
            <w:hideMark/>
          </w:tcPr>
          <w:p w14:paraId="64975B7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10,9</w:t>
            </w:r>
          </w:p>
        </w:tc>
        <w:tc>
          <w:tcPr>
            <w:tcW w:w="1249" w:type="dxa"/>
            <w:hideMark/>
          </w:tcPr>
          <w:p w14:paraId="1D9C5A4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11,1</w:t>
            </w:r>
          </w:p>
        </w:tc>
        <w:tc>
          <w:tcPr>
            <w:tcW w:w="1249" w:type="dxa"/>
            <w:hideMark/>
          </w:tcPr>
          <w:p w14:paraId="123FB67A"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11,2</w:t>
            </w:r>
          </w:p>
        </w:tc>
        <w:tc>
          <w:tcPr>
            <w:tcW w:w="1178" w:type="dxa"/>
            <w:hideMark/>
          </w:tcPr>
          <w:p w14:paraId="31481CA5"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11,35</w:t>
            </w:r>
          </w:p>
        </w:tc>
        <w:tc>
          <w:tcPr>
            <w:tcW w:w="1093" w:type="dxa"/>
            <w:hideMark/>
          </w:tcPr>
          <w:p w14:paraId="367FB3DE"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10,63</w:t>
            </w:r>
          </w:p>
        </w:tc>
        <w:tc>
          <w:tcPr>
            <w:tcW w:w="990" w:type="dxa"/>
            <w:hideMark/>
          </w:tcPr>
          <w:p w14:paraId="5C2421E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10,29</w:t>
            </w:r>
          </w:p>
        </w:tc>
      </w:tr>
      <w:tr w:rsidR="002A4D9B" w:rsidRPr="002A4D9B" w14:paraId="7304440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9F26A45"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Cedae</w:t>
            </w:r>
          </w:p>
        </w:tc>
        <w:tc>
          <w:tcPr>
            <w:tcW w:w="1248" w:type="dxa"/>
            <w:hideMark/>
          </w:tcPr>
          <w:p w14:paraId="03E39563"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23,6</w:t>
            </w:r>
          </w:p>
        </w:tc>
        <w:tc>
          <w:tcPr>
            <w:tcW w:w="1249" w:type="dxa"/>
            <w:hideMark/>
          </w:tcPr>
          <w:p w14:paraId="4CE6B2E8"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22</w:t>
            </w:r>
          </w:p>
        </w:tc>
        <w:tc>
          <w:tcPr>
            <w:tcW w:w="1249" w:type="dxa"/>
            <w:hideMark/>
          </w:tcPr>
          <w:p w14:paraId="496A541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22,5</w:t>
            </w:r>
          </w:p>
        </w:tc>
        <w:tc>
          <w:tcPr>
            <w:tcW w:w="1178" w:type="dxa"/>
            <w:hideMark/>
          </w:tcPr>
          <w:p w14:paraId="0F298A3F"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23,24</w:t>
            </w:r>
          </w:p>
        </w:tc>
        <w:tc>
          <w:tcPr>
            <w:tcW w:w="1093" w:type="dxa"/>
            <w:hideMark/>
          </w:tcPr>
          <w:p w14:paraId="47A93EB8"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23,11</w:t>
            </w:r>
          </w:p>
        </w:tc>
        <w:tc>
          <w:tcPr>
            <w:tcW w:w="990" w:type="dxa"/>
            <w:hideMark/>
          </w:tcPr>
          <w:p w14:paraId="42D7FCA6"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23,63</w:t>
            </w:r>
          </w:p>
        </w:tc>
      </w:tr>
      <w:tr w:rsidR="002A4D9B" w:rsidRPr="002A4D9B" w14:paraId="08C777A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5B34EBD"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Cesan</w:t>
            </w:r>
          </w:p>
        </w:tc>
        <w:tc>
          <w:tcPr>
            <w:tcW w:w="1248" w:type="dxa"/>
            <w:hideMark/>
          </w:tcPr>
          <w:p w14:paraId="4AE05C23"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17,6</w:t>
            </w:r>
          </w:p>
        </w:tc>
        <w:tc>
          <w:tcPr>
            <w:tcW w:w="1249" w:type="dxa"/>
            <w:hideMark/>
          </w:tcPr>
          <w:p w14:paraId="1C3B7C6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16,6</w:t>
            </w:r>
          </w:p>
        </w:tc>
        <w:tc>
          <w:tcPr>
            <w:tcW w:w="1249" w:type="dxa"/>
            <w:hideMark/>
          </w:tcPr>
          <w:p w14:paraId="311FBB5B"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16,1</w:t>
            </w:r>
          </w:p>
        </w:tc>
        <w:tc>
          <w:tcPr>
            <w:tcW w:w="1178" w:type="dxa"/>
            <w:hideMark/>
          </w:tcPr>
          <w:p w14:paraId="29636049"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16,05</w:t>
            </w:r>
          </w:p>
        </w:tc>
        <w:tc>
          <w:tcPr>
            <w:tcW w:w="1093" w:type="dxa"/>
            <w:hideMark/>
          </w:tcPr>
          <w:p w14:paraId="64719C45"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16,36</w:t>
            </w:r>
          </w:p>
        </w:tc>
        <w:tc>
          <w:tcPr>
            <w:tcW w:w="990" w:type="dxa"/>
            <w:hideMark/>
          </w:tcPr>
          <w:p w14:paraId="7584F567"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14,39</w:t>
            </w:r>
          </w:p>
        </w:tc>
      </w:tr>
      <w:tr w:rsidR="002A4D9B" w:rsidRPr="002A4D9B" w14:paraId="5FF1CE5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746895A"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Compesa</w:t>
            </w:r>
          </w:p>
        </w:tc>
        <w:tc>
          <w:tcPr>
            <w:tcW w:w="1248" w:type="dxa"/>
            <w:hideMark/>
          </w:tcPr>
          <w:p w14:paraId="18101E4F"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w:t>
            </w:r>
          </w:p>
        </w:tc>
        <w:tc>
          <w:tcPr>
            <w:tcW w:w="1249" w:type="dxa"/>
            <w:hideMark/>
          </w:tcPr>
          <w:p w14:paraId="3D6783A8"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10,4</w:t>
            </w:r>
          </w:p>
        </w:tc>
        <w:tc>
          <w:tcPr>
            <w:tcW w:w="1249" w:type="dxa"/>
            <w:hideMark/>
          </w:tcPr>
          <w:p w14:paraId="47329E65"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10,6</w:t>
            </w:r>
          </w:p>
        </w:tc>
        <w:tc>
          <w:tcPr>
            <w:tcW w:w="1178" w:type="dxa"/>
            <w:hideMark/>
          </w:tcPr>
          <w:p w14:paraId="7BF364C6"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10,18</w:t>
            </w:r>
          </w:p>
        </w:tc>
        <w:tc>
          <w:tcPr>
            <w:tcW w:w="1093" w:type="dxa"/>
            <w:hideMark/>
          </w:tcPr>
          <w:p w14:paraId="436E0933"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10,28</w:t>
            </w:r>
          </w:p>
        </w:tc>
        <w:tc>
          <w:tcPr>
            <w:tcW w:w="990" w:type="dxa"/>
            <w:hideMark/>
          </w:tcPr>
          <w:p w14:paraId="6F63BA5F"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9,69</w:t>
            </w:r>
          </w:p>
        </w:tc>
      </w:tr>
      <w:tr w:rsidR="002A4D9B" w:rsidRPr="002A4D9B" w14:paraId="5CBC744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A85B4F3"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Copasa</w:t>
            </w:r>
          </w:p>
        </w:tc>
        <w:tc>
          <w:tcPr>
            <w:tcW w:w="1248" w:type="dxa"/>
            <w:hideMark/>
          </w:tcPr>
          <w:p w14:paraId="567BA3D8"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11,8</w:t>
            </w:r>
          </w:p>
        </w:tc>
        <w:tc>
          <w:tcPr>
            <w:tcW w:w="1249" w:type="dxa"/>
            <w:hideMark/>
          </w:tcPr>
          <w:p w14:paraId="60497FF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11,8</w:t>
            </w:r>
          </w:p>
        </w:tc>
        <w:tc>
          <w:tcPr>
            <w:tcW w:w="1249" w:type="dxa"/>
            <w:hideMark/>
          </w:tcPr>
          <w:p w14:paraId="7EBE1EA8"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11,7</w:t>
            </w:r>
          </w:p>
        </w:tc>
        <w:tc>
          <w:tcPr>
            <w:tcW w:w="1178" w:type="dxa"/>
            <w:hideMark/>
          </w:tcPr>
          <w:p w14:paraId="5EAB18A0"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11,49</w:t>
            </w:r>
          </w:p>
        </w:tc>
        <w:tc>
          <w:tcPr>
            <w:tcW w:w="1093" w:type="dxa"/>
            <w:hideMark/>
          </w:tcPr>
          <w:p w14:paraId="64DCAD3B"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11,07</w:t>
            </w:r>
          </w:p>
        </w:tc>
        <w:tc>
          <w:tcPr>
            <w:tcW w:w="990" w:type="dxa"/>
            <w:hideMark/>
          </w:tcPr>
          <w:p w14:paraId="00EE9AFC"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9,88</w:t>
            </w:r>
          </w:p>
        </w:tc>
      </w:tr>
      <w:tr w:rsidR="002A4D9B" w:rsidRPr="002A4D9B" w14:paraId="4C115E8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4C50974"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Corsan</w:t>
            </w:r>
          </w:p>
        </w:tc>
        <w:tc>
          <w:tcPr>
            <w:tcW w:w="1248" w:type="dxa"/>
            <w:hideMark/>
          </w:tcPr>
          <w:p w14:paraId="560887A6"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11,4</w:t>
            </w:r>
          </w:p>
        </w:tc>
        <w:tc>
          <w:tcPr>
            <w:tcW w:w="1249" w:type="dxa"/>
            <w:hideMark/>
          </w:tcPr>
          <w:p w14:paraId="2048C35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11,1</w:t>
            </w:r>
          </w:p>
        </w:tc>
        <w:tc>
          <w:tcPr>
            <w:tcW w:w="1249" w:type="dxa"/>
            <w:hideMark/>
          </w:tcPr>
          <w:p w14:paraId="227AF138"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10,1</w:t>
            </w:r>
          </w:p>
        </w:tc>
        <w:tc>
          <w:tcPr>
            <w:tcW w:w="1178" w:type="dxa"/>
            <w:hideMark/>
          </w:tcPr>
          <w:p w14:paraId="6184BA8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9,84</w:t>
            </w:r>
          </w:p>
        </w:tc>
        <w:tc>
          <w:tcPr>
            <w:tcW w:w="1093" w:type="dxa"/>
            <w:hideMark/>
          </w:tcPr>
          <w:p w14:paraId="3BF57875"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11,33</w:t>
            </w:r>
          </w:p>
        </w:tc>
        <w:tc>
          <w:tcPr>
            <w:tcW w:w="990" w:type="dxa"/>
            <w:hideMark/>
          </w:tcPr>
          <w:p w14:paraId="531AF40C"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10,62</w:t>
            </w:r>
          </w:p>
        </w:tc>
      </w:tr>
      <w:tr w:rsidR="002A4D9B" w:rsidRPr="002A4D9B" w14:paraId="2538A81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1635527"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Cosanpa</w:t>
            </w:r>
          </w:p>
        </w:tc>
        <w:tc>
          <w:tcPr>
            <w:tcW w:w="1248" w:type="dxa"/>
            <w:hideMark/>
          </w:tcPr>
          <w:p w14:paraId="6AC68E49"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14,2</w:t>
            </w:r>
          </w:p>
        </w:tc>
        <w:tc>
          <w:tcPr>
            <w:tcW w:w="1249" w:type="dxa"/>
            <w:hideMark/>
          </w:tcPr>
          <w:p w14:paraId="5E4D6D8B"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14,7</w:t>
            </w:r>
          </w:p>
        </w:tc>
        <w:tc>
          <w:tcPr>
            <w:tcW w:w="1249" w:type="dxa"/>
            <w:hideMark/>
          </w:tcPr>
          <w:p w14:paraId="5B706468"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w:t>
            </w:r>
          </w:p>
        </w:tc>
        <w:tc>
          <w:tcPr>
            <w:tcW w:w="1178" w:type="dxa"/>
            <w:hideMark/>
          </w:tcPr>
          <w:p w14:paraId="01C8CDBD"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13,91</w:t>
            </w:r>
          </w:p>
        </w:tc>
        <w:tc>
          <w:tcPr>
            <w:tcW w:w="1093" w:type="dxa"/>
            <w:hideMark/>
          </w:tcPr>
          <w:p w14:paraId="0F898AFA"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14,51</w:t>
            </w:r>
          </w:p>
        </w:tc>
        <w:tc>
          <w:tcPr>
            <w:tcW w:w="990" w:type="dxa"/>
            <w:hideMark/>
          </w:tcPr>
          <w:p w14:paraId="2AA55EF5"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15,33</w:t>
            </w:r>
          </w:p>
        </w:tc>
      </w:tr>
      <w:tr w:rsidR="002A4D9B" w:rsidRPr="002A4D9B" w14:paraId="2A972C1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995079F"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Depasa</w:t>
            </w:r>
          </w:p>
        </w:tc>
        <w:tc>
          <w:tcPr>
            <w:tcW w:w="1248" w:type="dxa"/>
            <w:hideMark/>
          </w:tcPr>
          <w:p w14:paraId="3552180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25,2</w:t>
            </w:r>
          </w:p>
        </w:tc>
        <w:tc>
          <w:tcPr>
            <w:tcW w:w="1249" w:type="dxa"/>
            <w:hideMark/>
          </w:tcPr>
          <w:p w14:paraId="296FD5E0"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18,8</w:t>
            </w:r>
          </w:p>
        </w:tc>
        <w:tc>
          <w:tcPr>
            <w:tcW w:w="1249" w:type="dxa"/>
            <w:hideMark/>
          </w:tcPr>
          <w:p w14:paraId="426CC15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22,4</w:t>
            </w:r>
          </w:p>
        </w:tc>
        <w:tc>
          <w:tcPr>
            <w:tcW w:w="1178" w:type="dxa"/>
            <w:hideMark/>
          </w:tcPr>
          <w:p w14:paraId="61425E67"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18,3</w:t>
            </w:r>
          </w:p>
        </w:tc>
        <w:tc>
          <w:tcPr>
            <w:tcW w:w="1093" w:type="dxa"/>
            <w:hideMark/>
          </w:tcPr>
          <w:p w14:paraId="4A2C84E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19,94</w:t>
            </w:r>
          </w:p>
        </w:tc>
        <w:tc>
          <w:tcPr>
            <w:tcW w:w="990" w:type="dxa"/>
            <w:hideMark/>
          </w:tcPr>
          <w:p w14:paraId="28F3C346"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18,16</w:t>
            </w:r>
          </w:p>
        </w:tc>
      </w:tr>
      <w:tr w:rsidR="002A4D9B" w:rsidRPr="002A4D9B" w14:paraId="74A00DA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483827E"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Deso</w:t>
            </w:r>
          </w:p>
        </w:tc>
        <w:tc>
          <w:tcPr>
            <w:tcW w:w="1248" w:type="dxa"/>
            <w:hideMark/>
          </w:tcPr>
          <w:p w14:paraId="4431D338"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11,9</w:t>
            </w:r>
          </w:p>
        </w:tc>
        <w:tc>
          <w:tcPr>
            <w:tcW w:w="1249" w:type="dxa"/>
            <w:hideMark/>
          </w:tcPr>
          <w:p w14:paraId="4680F51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w:t>
            </w:r>
          </w:p>
        </w:tc>
        <w:tc>
          <w:tcPr>
            <w:tcW w:w="1249" w:type="dxa"/>
            <w:hideMark/>
          </w:tcPr>
          <w:p w14:paraId="5C467254"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11,9</w:t>
            </w:r>
          </w:p>
        </w:tc>
        <w:tc>
          <w:tcPr>
            <w:tcW w:w="1178" w:type="dxa"/>
            <w:hideMark/>
          </w:tcPr>
          <w:p w14:paraId="159CE29A"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11,67</w:t>
            </w:r>
          </w:p>
        </w:tc>
        <w:tc>
          <w:tcPr>
            <w:tcW w:w="1093" w:type="dxa"/>
            <w:hideMark/>
          </w:tcPr>
          <w:p w14:paraId="3EADD88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11,32</w:t>
            </w:r>
          </w:p>
        </w:tc>
        <w:tc>
          <w:tcPr>
            <w:tcW w:w="990" w:type="dxa"/>
            <w:hideMark/>
          </w:tcPr>
          <w:p w14:paraId="2E57AD4C"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11,04</w:t>
            </w:r>
          </w:p>
        </w:tc>
      </w:tr>
      <w:tr w:rsidR="002A4D9B" w:rsidRPr="002A4D9B" w14:paraId="49D1785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39BA95"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Embasa</w:t>
            </w:r>
          </w:p>
        </w:tc>
        <w:tc>
          <w:tcPr>
            <w:tcW w:w="1248" w:type="dxa"/>
            <w:hideMark/>
          </w:tcPr>
          <w:p w14:paraId="30B7AF09"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11,5</w:t>
            </w:r>
          </w:p>
        </w:tc>
        <w:tc>
          <w:tcPr>
            <w:tcW w:w="1249" w:type="dxa"/>
            <w:hideMark/>
          </w:tcPr>
          <w:p w14:paraId="11C2BBFF"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10,8</w:t>
            </w:r>
          </w:p>
        </w:tc>
        <w:tc>
          <w:tcPr>
            <w:tcW w:w="1249" w:type="dxa"/>
            <w:hideMark/>
          </w:tcPr>
          <w:p w14:paraId="76B2E34D"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10,6</w:t>
            </w:r>
          </w:p>
        </w:tc>
        <w:tc>
          <w:tcPr>
            <w:tcW w:w="1178" w:type="dxa"/>
            <w:hideMark/>
          </w:tcPr>
          <w:p w14:paraId="47C6ED9E"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9,9</w:t>
            </w:r>
          </w:p>
        </w:tc>
        <w:tc>
          <w:tcPr>
            <w:tcW w:w="1093" w:type="dxa"/>
            <w:hideMark/>
          </w:tcPr>
          <w:p w14:paraId="3596AEED"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9,9</w:t>
            </w:r>
          </w:p>
        </w:tc>
        <w:tc>
          <w:tcPr>
            <w:tcW w:w="990" w:type="dxa"/>
            <w:hideMark/>
          </w:tcPr>
          <w:p w14:paraId="70C17C7B"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9,73</w:t>
            </w:r>
          </w:p>
        </w:tc>
      </w:tr>
      <w:tr w:rsidR="002A4D9B" w:rsidRPr="002A4D9B" w14:paraId="65BD945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4026C9D"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lastRenderedPageBreak/>
              <w:t>Sabesp</w:t>
            </w:r>
          </w:p>
        </w:tc>
        <w:tc>
          <w:tcPr>
            <w:tcW w:w="1248" w:type="dxa"/>
            <w:hideMark/>
          </w:tcPr>
          <w:p w14:paraId="6C0D6FB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14,1</w:t>
            </w:r>
          </w:p>
        </w:tc>
        <w:tc>
          <w:tcPr>
            <w:tcW w:w="1249" w:type="dxa"/>
            <w:hideMark/>
          </w:tcPr>
          <w:p w14:paraId="5A82BD07"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14,2</w:t>
            </w:r>
          </w:p>
        </w:tc>
        <w:tc>
          <w:tcPr>
            <w:tcW w:w="1249" w:type="dxa"/>
            <w:hideMark/>
          </w:tcPr>
          <w:p w14:paraId="649AACC1"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14,2</w:t>
            </w:r>
          </w:p>
        </w:tc>
        <w:tc>
          <w:tcPr>
            <w:tcW w:w="1178" w:type="dxa"/>
            <w:hideMark/>
          </w:tcPr>
          <w:p w14:paraId="1CE24195"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14,01</w:t>
            </w:r>
          </w:p>
        </w:tc>
        <w:tc>
          <w:tcPr>
            <w:tcW w:w="1093" w:type="dxa"/>
            <w:hideMark/>
          </w:tcPr>
          <w:p w14:paraId="2EFA9FF6"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13,06</w:t>
            </w:r>
          </w:p>
        </w:tc>
        <w:tc>
          <w:tcPr>
            <w:tcW w:w="990" w:type="dxa"/>
            <w:hideMark/>
          </w:tcPr>
          <w:p w14:paraId="5FD767F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11,23</w:t>
            </w:r>
          </w:p>
        </w:tc>
      </w:tr>
      <w:tr w:rsidR="002A4D9B" w:rsidRPr="002A4D9B" w14:paraId="164B40E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4F11E0F"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Saneago</w:t>
            </w:r>
          </w:p>
        </w:tc>
        <w:tc>
          <w:tcPr>
            <w:tcW w:w="1248" w:type="dxa"/>
            <w:hideMark/>
          </w:tcPr>
          <w:p w14:paraId="211AE55E"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11,7</w:t>
            </w:r>
          </w:p>
        </w:tc>
        <w:tc>
          <w:tcPr>
            <w:tcW w:w="1249" w:type="dxa"/>
            <w:hideMark/>
          </w:tcPr>
          <w:p w14:paraId="1FDDF84E"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11,5</w:t>
            </w:r>
          </w:p>
        </w:tc>
        <w:tc>
          <w:tcPr>
            <w:tcW w:w="1249" w:type="dxa"/>
            <w:hideMark/>
          </w:tcPr>
          <w:p w14:paraId="218B81CF"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11,6</w:t>
            </w:r>
          </w:p>
        </w:tc>
        <w:tc>
          <w:tcPr>
            <w:tcW w:w="1178" w:type="dxa"/>
            <w:hideMark/>
          </w:tcPr>
          <w:p w14:paraId="7FFFA1E2"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11,41</w:t>
            </w:r>
          </w:p>
        </w:tc>
        <w:tc>
          <w:tcPr>
            <w:tcW w:w="1093" w:type="dxa"/>
            <w:hideMark/>
          </w:tcPr>
          <w:p w14:paraId="0CF26A71"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11,22</w:t>
            </w:r>
          </w:p>
        </w:tc>
        <w:tc>
          <w:tcPr>
            <w:tcW w:w="990" w:type="dxa"/>
            <w:hideMark/>
          </w:tcPr>
          <w:p w14:paraId="4AEA36F5"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10,45</w:t>
            </w:r>
          </w:p>
        </w:tc>
      </w:tr>
      <w:tr w:rsidR="002A4D9B" w:rsidRPr="002A4D9B" w14:paraId="4365CF8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005A6F9"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EA348F">
              <w:rPr>
                <w:color w:val="000000"/>
                <w:sz w:val="22"/>
                <w:lang w:eastAsia="es-CO"/>
              </w:rPr>
              <w:t>Saneatins</w:t>
            </w:r>
          </w:p>
        </w:tc>
        <w:tc>
          <w:tcPr>
            <w:tcW w:w="1248" w:type="dxa"/>
            <w:hideMark/>
          </w:tcPr>
          <w:p w14:paraId="53E37C1E"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12,4</w:t>
            </w:r>
          </w:p>
        </w:tc>
        <w:tc>
          <w:tcPr>
            <w:tcW w:w="1249" w:type="dxa"/>
            <w:hideMark/>
          </w:tcPr>
          <w:p w14:paraId="591D66A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11,8</w:t>
            </w:r>
          </w:p>
        </w:tc>
        <w:tc>
          <w:tcPr>
            <w:tcW w:w="1249" w:type="dxa"/>
            <w:hideMark/>
          </w:tcPr>
          <w:p w14:paraId="57F934F8"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11,9</w:t>
            </w:r>
          </w:p>
        </w:tc>
        <w:tc>
          <w:tcPr>
            <w:tcW w:w="1178" w:type="dxa"/>
            <w:hideMark/>
          </w:tcPr>
          <w:p w14:paraId="0E71EF6E"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11,25</w:t>
            </w:r>
          </w:p>
        </w:tc>
        <w:tc>
          <w:tcPr>
            <w:tcW w:w="1093" w:type="dxa"/>
            <w:hideMark/>
          </w:tcPr>
          <w:p w14:paraId="43FB0090"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12,09</w:t>
            </w:r>
          </w:p>
        </w:tc>
        <w:tc>
          <w:tcPr>
            <w:tcW w:w="990" w:type="dxa"/>
            <w:hideMark/>
          </w:tcPr>
          <w:p w14:paraId="0F517799"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11,52</w:t>
            </w:r>
          </w:p>
        </w:tc>
      </w:tr>
      <w:tr w:rsidR="002A4D9B" w:rsidRPr="002A4D9B" w14:paraId="3704C12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3D7F2B8"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Sanepar</w:t>
            </w:r>
          </w:p>
        </w:tc>
        <w:tc>
          <w:tcPr>
            <w:tcW w:w="1248" w:type="dxa"/>
            <w:hideMark/>
          </w:tcPr>
          <w:p w14:paraId="7E8753E8"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11,8</w:t>
            </w:r>
          </w:p>
        </w:tc>
        <w:tc>
          <w:tcPr>
            <w:tcW w:w="1249" w:type="dxa"/>
            <w:hideMark/>
          </w:tcPr>
          <w:p w14:paraId="28AAEE08"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11,8</w:t>
            </w:r>
          </w:p>
        </w:tc>
        <w:tc>
          <w:tcPr>
            <w:tcW w:w="1249" w:type="dxa"/>
            <w:hideMark/>
          </w:tcPr>
          <w:p w14:paraId="407A8166"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11,9</w:t>
            </w:r>
          </w:p>
        </w:tc>
        <w:tc>
          <w:tcPr>
            <w:tcW w:w="1178" w:type="dxa"/>
            <w:hideMark/>
          </w:tcPr>
          <w:p w14:paraId="36C2ED63"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11,61</w:t>
            </w:r>
          </w:p>
        </w:tc>
        <w:tc>
          <w:tcPr>
            <w:tcW w:w="1093" w:type="dxa"/>
            <w:hideMark/>
          </w:tcPr>
          <w:p w14:paraId="6F19C5CE"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11,62</w:t>
            </w:r>
          </w:p>
        </w:tc>
        <w:tc>
          <w:tcPr>
            <w:tcW w:w="990" w:type="dxa"/>
            <w:hideMark/>
          </w:tcPr>
          <w:p w14:paraId="4AC65DAE" w14:textId="77777777" w:rsidR="002A4D9B" w:rsidRPr="00EA348F" w:rsidRDefault="002A4D9B" w:rsidP="002A4D9B">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10,95</w:t>
            </w:r>
          </w:p>
        </w:tc>
      </w:tr>
      <w:tr w:rsidR="002A4D9B" w:rsidRPr="002A4D9B" w14:paraId="74D614A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C724F41" w14:textId="77777777" w:rsidR="002A4D9B" w:rsidRPr="00EA348F" w:rsidRDefault="002A4D9B" w:rsidP="002A4D9B">
            <w:pPr>
              <w:spacing w:before="0" w:beforeAutospacing="0" w:after="0" w:afterAutospacing="0" w:line="240" w:lineRule="auto"/>
              <w:ind w:firstLine="0"/>
              <w:jc w:val="left"/>
              <w:rPr>
                <w:color w:val="000000"/>
                <w:sz w:val="22"/>
                <w:lang w:eastAsia="es-CO"/>
              </w:rPr>
            </w:pPr>
            <w:r w:rsidRPr="00272793">
              <w:rPr>
                <w:color w:val="000000"/>
                <w:sz w:val="22"/>
                <w:lang w:eastAsia="es-CO"/>
              </w:rPr>
              <w:t>Sanesul</w:t>
            </w:r>
          </w:p>
        </w:tc>
        <w:tc>
          <w:tcPr>
            <w:tcW w:w="1248" w:type="dxa"/>
            <w:hideMark/>
          </w:tcPr>
          <w:p w14:paraId="58574DE6"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12,9</w:t>
            </w:r>
          </w:p>
        </w:tc>
        <w:tc>
          <w:tcPr>
            <w:tcW w:w="1249" w:type="dxa"/>
            <w:hideMark/>
          </w:tcPr>
          <w:p w14:paraId="28544FDE"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12,8</w:t>
            </w:r>
          </w:p>
        </w:tc>
        <w:tc>
          <w:tcPr>
            <w:tcW w:w="1249" w:type="dxa"/>
            <w:hideMark/>
          </w:tcPr>
          <w:p w14:paraId="4588ACEC"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12,8</w:t>
            </w:r>
          </w:p>
        </w:tc>
        <w:tc>
          <w:tcPr>
            <w:tcW w:w="1178" w:type="dxa"/>
            <w:hideMark/>
          </w:tcPr>
          <w:p w14:paraId="275EB932"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12,28</w:t>
            </w:r>
          </w:p>
        </w:tc>
        <w:tc>
          <w:tcPr>
            <w:tcW w:w="1093" w:type="dxa"/>
            <w:hideMark/>
          </w:tcPr>
          <w:p w14:paraId="77F3765F"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12</w:t>
            </w:r>
          </w:p>
        </w:tc>
        <w:tc>
          <w:tcPr>
            <w:tcW w:w="990" w:type="dxa"/>
            <w:hideMark/>
          </w:tcPr>
          <w:p w14:paraId="52111817" w14:textId="77777777" w:rsidR="002A4D9B" w:rsidRPr="00EA348F" w:rsidRDefault="002A4D9B" w:rsidP="002A4D9B">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11,49</w:t>
            </w:r>
          </w:p>
        </w:tc>
      </w:tr>
    </w:tbl>
    <w:p w14:paraId="5419396E" w14:textId="77777777" w:rsidR="0001351C" w:rsidRPr="00042F25" w:rsidRDefault="0001351C" w:rsidP="0001351C">
      <w:pPr>
        <w:pStyle w:val="Descripcin"/>
        <w:spacing w:before="0" w:beforeAutospacing="0"/>
        <w:jc w:val="left"/>
        <w:rPr>
          <w:sz w:val="20"/>
        </w:rPr>
      </w:pPr>
      <w:r w:rsidRPr="00042F25">
        <w:rPr>
          <w:sz w:val="20"/>
        </w:rPr>
        <w:t>Fonte: SNIS 2015. Elaborado por: GO Associados</w:t>
      </w:r>
    </w:p>
    <w:p w14:paraId="66BD2253" w14:textId="77777777" w:rsidR="0001351C" w:rsidRPr="00042F25" w:rsidRDefault="0001351C" w:rsidP="0001351C"/>
    <w:p w14:paraId="3DCB6676" w14:textId="1CC12180" w:rsidR="00BE6379" w:rsidRPr="00042F25" w:rsidRDefault="00BE6379" w:rsidP="00C71C89">
      <w:pPr>
        <w:pStyle w:val="Ttulo2"/>
        <w:ind w:left="1427"/>
      </w:pPr>
      <w:bookmarkStart w:id="15" w:name="_Toc493094922"/>
      <w:r w:rsidRPr="00042F25">
        <w:t>Volume de água disponibilizado</w:t>
      </w:r>
      <w:bookmarkEnd w:id="15"/>
    </w:p>
    <w:p w14:paraId="3F2686D2" w14:textId="0B2522C0" w:rsidR="00BE6379" w:rsidRPr="00042F25" w:rsidRDefault="00BE6379" w:rsidP="00BE6379">
      <w:r w:rsidRPr="00042F25">
        <w:t xml:space="preserve">O </w:t>
      </w:r>
      <w:r w:rsidR="00EE4E5D" w:rsidRPr="00042F25">
        <w:t xml:space="preserve">volume de água disponibilizado por economia </w:t>
      </w:r>
      <w:r w:rsidRPr="00042F25">
        <w:t>(IN02</w:t>
      </w:r>
      <w:r w:rsidR="00EE4E5D" w:rsidRPr="00042F25">
        <w:t>5</w:t>
      </w:r>
      <w:r w:rsidRPr="00042F25">
        <w:t>)</w:t>
      </w:r>
      <w:r w:rsidR="00BF6582" w:rsidRPr="00042F25">
        <w:t>, expresso em m</w:t>
      </w:r>
      <w:r w:rsidR="00BF6582" w:rsidRPr="00042F25">
        <w:rPr>
          <w:vertAlign w:val="superscript"/>
        </w:rPr>
        <w:t>3</w:t>
      </w:r>
      <w:r w:rsidR="00BF6582" w:rsidRPr="00042F25">
        <w:t>/mês/economia,</w:t>
      </w:r>
      <w:r w:rsidRPr="00042F25">
        <w:t xml:space="preserve"> </w:t>
      </w:r>
      <w:r w:rsidR="00EE4E5D" w:rsidRPr="00042F25">
        <w:t>us</w:t>
      </w:r>
      <w:r w:rsidRPr="00042F25">
        <w:t xml:space="preserve">a a quantidade de economias ativas de água (AG003), </w:t>
      </w:r>
      <w:r w:rsidR="00FB046F" w:rsidRPr="00042F25">
        <w:t>o volume de água produzido</w:t>
      </w:r>
      <w:r w:rsidRPr="00042F25">
        <w:t xml:space="preserve"> (</w:t>
      </w:r>
      <w:r w:rsidR="00FB046F" w:rsidRPr="00042F25">
        <w:t>AG</w:t>
      </w:r>
      <w:r w:rsidRPr="00042F25">
        <w:t>00</w:t>
      </w:r>
      <w:r w:rsidR="00FB046F" w:rsidRPr="00042F25">
        <w:t>6</w:t>
      </w:r>
      <w:r w:rsidRPr="00042F25">
        <w:t>)</w:t>
      </w:r>
      <w:r w:rsidR="00FB046F" w:rsidRPr="00042F25">
        <w:t xml:space="preserve"> e o volume de água tratada importado (AG</w:t>
      </w:r>
      <w:r w:rsidR="004A0803" w:rsidRPr="00042F25">
        <w:t>018)</w:t>
      </w:r>
      <w:r w:rsidR="00FB046F" w:rsidRPr="00042F25">
        <w:t xml:space="preserve"> e exportado (AG019</w:t>
      </w:r>
      <w:r w:rsidRPr="00042F25">
        <w:t xml:space="preserve">) para o seu cálculo: </w:t>
      </w:r>
    </w:p>
    <w:p w14:paraId="440F0AD8" w14:textId="7664FA89" w:rsidR="00BE6379" w:rsidRPr="00042F25" w:rsidRDefault="00BE6379" w:rsidP="00114CDA">
      <w:pPr>
        <w:jc w:val="center"/>
        <w:rPr>
          <w:rFonts w:ascii="Cambria Math" w:hAnsi="Cambria Math"/>
          <w:i/>
        </w:rPr>
      </w:pPr>
      <m:oMathPara>
        <m:oMath>
          <m:r>
            <w:rPr>
              <w:rFonts w:ascii="Cambria Math" w:hAnsi="Cambria Math"/>
            </w:rPr>
            <m:t xml:space="preserve">IN025= </m:t>
          </m:r>
          <m:f>
            <m:fPr>
              <m:ctrlPr>
                <w:rPr>
                  <w:rFonts w:ascii="Cambria Math" w:hAnsi="Cambria Math"/>
                  <w:i/>
                </w:rPr>
              </m:ctrlPr>
            </m:fPr>
            <m:num>
              <m:r>
                <w:rPr>
                  <w:rFonts w:ascii="Cambria Math" w:hAnsi="Cambria Math"/>
                </w:rPr>
                <m:t>AG006+AG018-AG019</m:t>
              </m:r>
            </m:num>
            <m:den>
              <m:r>
                <w:rPr>
                  <w:rFonts w:ascii="Cambria Math" w:hAnsi="Cambria Math"/>
                </w:rPr>
                <m:t>AG003</m:t>
              </m:r>
            </m:den>
          </m:f>
          <m:r>
            <w:rPr>
              <w:rFonts w:ascii="Cambria Math" w:hAnsi="Cambria Math"/>
            </w:rPr>
            <m:t xml:space="preserve">* </m:t>
          </m:r>
          <m:f>
            <m:fPr>
              <m:ctrlPr>
                <w:rPr>
                  <w:rFonts w:ascii="Cambria Math" w:hAnsi="Cambria Math"/>
                  <w:i/>
                </w:rPr>
              </m:ctrlPr>
            </m:fPr>
            <m:num>
              <m:r>
                <w:rPr>
                  <w:rFonts w:ascii="Cambria Math" w:hAnsi="Cambria Math"/>
                </w:rPr>
                <m:t>1.000</m:t>
              </m:r>
            </m:num>
            <m:den>
              <m:r>
                <w:rPr>
                  <w:rFonts w:ascii="Cambria Math" w:hAnsi="Cambria Math"/>
                </w:rPr>
                <m:t>12</m:t>
              </m:r>
            </m:den>
          </m:f>
        </m:oMath>
      </m:oMathPara>
    </w:p>
    <w:p w14:paraId="074725CA" w14:textId="40F3DBDA" w:rsidR="00E372C6" w:rsidRDefault="00E24B0E" w:rsidP="00BE6379">
      <w:r w:rsidRPr="00042F25">
        <w:t>Este indicador</w:t>
      </w:r>
      <w:r w:rsidR="00E372C6">
        <w:t xml:space="preserve"> possibilita avaliar</w:t>
      </w:r>
      <w:r w:rsidRPr="00042F25">
        <w:t xml:space="preserve"> </w:t>
      </w:r>
      <w:r w:rsidR="00311307" w:rsidRPr="00EA348F">
        <w:t xml:space="preserve">a </w:t>
      </w:r>
      <w:r w:rsidR="00E372C6">
        <w:t xml:space="preserve">demanda hídrica e a </w:t>
      </w:r>
      <w:r w:rsidR="00311307" w:rsidRPr="00EA348F">
        <w:t>eficiência operacional</w:t>
      </w:r>
      <w:r w:rsidR="00E372C6">
        <w:t>,</w:t>
      </w:r>
      <w:r w:rsidR="00311307" w:rsidRPr="00EA348F">
        <w:t xml:space="preserve"> </w:t>
      </w:r>
      <w:r w:rsidR="00E372C6">
        <w:t xml:space="preserve">quando </w:t>
      </w:r>
      <w:r w:rsidR="00311307" w:rsidRPr="00EA348F">
        <w:t>comparada com outros volumes gerenciados no sistema</w:t>
      </w:r>
      <w:r w:rsidRPr="00042F25">
        <w:rPr>
          <w:szCs w:val="24"/>
        </w:rPr>
        <w:t>.</w:t>
      </w:r>
      <w:r w:rsidRPr="00042F25">
        <w:t xml:space="preserve"> </w:t>
      </w:r>
      <w:r w:rsidR="00E372C6">
        <w:t xml:space="preserve">A média de agua disponibilizada em 2015 para a amostra foi de 26,34 </w:t>
      </w:r>
      <w:r w:rsidR="00E372C6" w:rsidRPr="00455ABB">
        <w:t>m</w:t>
      </w:r>
      <w:r w:rsidR="00E372C6" w:rsidRPr="00455ABB">
        <w:rPr>
          <w:vertAlign w:val="superscript"/>
        </w:rPr>
        <w:t>3</w:t>
      </w:r>
      <w:r w:rsidR="00E372C6">
        <w:t>/</w:t>
      </w:r>
      <w:r w:rsidR="00E372C6" w:rsidRPr="00455ABB">
        <w:t>mês</w:t>
      </w:r>
      <w:r w:rsidR="00E372C6">
        <w:t xml:space="preserve">/economia, com diferença de 13,39 </w:t>
      </w:r>
      <w:r w:rsidR="00E372C6" w:rsidRPr="00455ABB">
        <w:t>m</w:t>
      </w:r>
      <w:r w:rsidR="00E372C6" w:rsidRPr="00455ABB">
        <w:rPr>
          <w:vertAlign w:val="superscript"/>
        </w:rPr>
        <w:t>3</w:t>
      </w:r>
      <w:r w:rsidR="00E372C6">
        <w:t>/</w:t>
      </w:r>
      <w:r w:rsidR="00E372C6" w:rsidRPr="00455ABB">
        <w:t>mês</w:t>
      </w:r>
      <w:r w:rsidR="00E372C6">
        <w:t xml:space="preserve">/economia, quando comparado com o consumo médio de 12,94 </w:t>
      </w:r>
      <w:r w:rsidR="00E372C6" w:rsidRPr="00455ABB">
        <w:t>m</w:t>
      </w:r>
      <w:r w:rsidR="00E372C6" w:rsidRPr="00455ABB">
        <w:rPr>
          <w:vertAlign w:val="superscript"/>
        </w:rPr>
        <w:t>3</w:t>
      </w:r>
      <w:r w:rsidR="00E372C6">
        <w:t>/</w:t>
      </w:r>
      <w:r w:rsidR="00E372C6" w:rsidRPr="00455ABB">
        <w:t>mês</w:t>
      </w:r>
      <w:r w:rsidR="00E372C6">
        <w:t xml:space="preserve">/economia.  </w:t>
      </w:r>
    </w:p>
    <w:p w14:paraId="101FD12B" w14:textId="4F815A46" w:rsidR="00BE6379" w:rsidRPr="00042F25" w:rsidRDefault="00BE6379" w:rsidP="00BE6379">
      <w:r w:rsidRPr="00042F25">
        <w:t>A evolução deste índice de 2010 a 2015 nas Companhias E</w:t>
      </w:r>
      <w:r w:rsidR="00D94136" w:rsidRPr="00042F25">
        <w:t xml:space="preserve">staduais de Saneamento Básico mostra que </w:t>
      </w:r>
      <w:r w:rsidR="00D94136" w:rsidRPr="00EA348F">
        <w:t>a Caesa disponibiliza o maior volume de água por economia</w:t>
      </w:r>
      <w:r w:rsidR="00A93A3C" w:rsidRPr="00EA348F">
        <w:t xml:space="preserve"> (73,34 m</w:t>
      </w:r>
      <w:r w:rsidR="00A93A3C" w:rsidRPr="00EA348F">
        <w:rPr>
          <w:vertAlign w:val="superscript"/>
        </w:rPr>
        <w:t>3</w:t>
      </w:r>
      <w:r w:rsidR="00A93A3C" w:rsidRPr="00EA348F">
        <w:t xml:space="preserve"> por mês)</w:t>
      </w:r>
      <w:r w:rsidR="00D94136" w:rsidRPr="009A40C9">
        <w:rPr>
          <w:u w:val="single"/>
        </w:rPr>
        <w:t>.</w:t>
      </w:r>
    </w:p>
    <w:p w14:paraId="0ECDD4AF" w14:textId="0DBBF99B" w:rsidR="008B0F89" w:rsidRDefault="008B0F89" w:rsidP="008B0F89">
      <w:pPr>
        <w:pStyle w:val="Descripcin"/>
      </w:pPr>
      <w:bookmarkStart w:id="16" w:name="_Toc493222472"/>
      <w:r w:rsidRPr="00042F25">
        <w:t xml:space="preserve">Quadro </w:t>
      </w:r>
      <w:fldSimple w:instr=" SEQ Quadro \* ARABIC ">
        <w:r w:rsidR="00B64D1C" w:rsidRPr="00042F25">
          <w:rPr>
            <w:noProof/>
          </w:rPr>
          <w:t>8</w:t>
        </w:r>
      </w:fldSimple>
      <w:r w:rsidRPr="00042F25">
        <w:t xml:space="preserve"> – Volume de Água Disponibilizado por Economia (IN025)</w:t>
      </w:r>
      <w:bookmarkEnd w:id="16"/>
    </w:p>
    <w:tbl>
      <w:tblPr>
        <w:tblStyle w:val="Tabladecuadrcula4-nfasis11"/>
        <w:tblW w:w="8494" w:type="dxa"/>
        <w:jc w:val="center"/>
        <w:tblLayout w:type="fixed"/>
        <w:tblLook w:val="04A0" w:firstRow="1" w:lastRow="0" w:firstColumn="1" w:lastColumn="0" w:noHBand="0" w:noVBand="1"/>
      </w:tblPr>
      <w:tblGrid>
        <w:gridCol w:w="1487"/>
        <w:gridCol w:w="1248"/>
        <w:gridCol w:w="1249"/>
        <w:gridCol w:w="1249"/>
        <w:gridCol w:w="1178"/>
        <w:gridCol w:w="1093"/>
        <w:gridCol w:w="990"/>
      </w:tblGrid>
      <w:tr w:rsidR="00E372C6" w:rsidRPr="00E372C6" w14:paraId="66EDDC05" w14:textId="77777777" w:rsidTr="00E372C6">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487" w:type="dxa"/>
          </w:tcPr>
          <w:p w14:paraId="77034B79"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FFFFFF"/>
                <w:sz w:val="22"/>
                <w:lang w:eastAsia="en-US"/>
              </w:rPr>
            </w:pPr>
            <w:r w:rsidRPr="00EA348F">
              <w:rPr>
                <w:rFonts w:eastAsiaTheme="minorHAnsi"/>
                <w:color w:val="FFFFFF"/>
                <w:sz w:val="22"/>
                <w:lang w:eastAsia="en-US"/>
              </w:rPr>
              <w:t>Empresa</w:t>
            </w:r>
          </w:p>
        </w:tc>
        <w:tc>
          <w:tcPr>
            <w:tcW w:w="1248" w:type="dxa"/>
          </w:tcPr>
          <w:p w14:paraId="54734D4D" w14:textId="77777777" w:rsidR="00E372C6" w:rsidRPr="00EA348F" w:rsidRDefault="00E372C6">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2010</w:t>
            </w:r>
          </w:p>
        </w:tc>
        <w:tc>
          <w:tcPr>
            <w:tcW w:w="1249" w:type="dxa"/>
          </w:tcPr>
          <w:p w14:paraId="666975FC" w14:textId="77777777" w:rsidR="00E372C6" w:rsidRPr="00EA348F" w:rsidRDefault="00E372C6">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2011</w:t>
            </w:r>
          </w:p>
        </w:tc>
        <w:tc>
          <w:tcPr>
            <w:tcW w:w="1249" w:type="dxa"/>
          </w:tcPr>
          <w:p w14:paraId="76E03DC7" w14:textId="77777777" w:rsidR="00E372C6" w:rsidRPr="00EA348F" w:rsidRDefault="00E372C6">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2012</w:t>
            </w:r>
          </w:p>
        </w:tc>
        <w:tc>
          <w:tcPr>
            <w:tcW w:w="1178" w:type="dxa"/>
          </w:tcPr>
          <w:p w14:paraId="13AEF774" w14:textId="77777777" w:rsidR="00E372C6" w:rsidRPr="00EA348F" w:rsidRDefault="00E372C6">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2013</w:t>
            </w:r>
          </w:p>
        </w:tc>
        <w:tc>
          <w:tcPr>
            <w:tcW w:w="1093" w:type="dxa"/>
          </w:tcPr>
          <w:p w14:paraId="3A57CFDE" w14:textId="77777777" w:rsidR="00E372C6" w:rsidRPr="00EA348F" w:rsidRDefault="00E372C6">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2014</w:t>
            </w:r>
          </w:p>
        </w:tc>
        <w:tc>
          <w:tcPr>
            <w:tcW w:w="990" w:type="dxa"/>
          </w:tcPr>
          <w:p w14:paraId="55CE505D" w14:textId="77777777" w:rsidR="00E372C6" w:rsidRPr="00EA348F" w:rsidRDefault="00E372C6">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2015</w:t>
            </w:r>
          </w:p>
        </w:tc>
      </w:tr>
      <w:tr w:rsidR="00E372C6" w:rsidRPr="00E372C6" w14:paraId="70CE6B99"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E1E9CA8"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Agespisa</w:t>
            </w:r>
          </w:p>
        </w:tc>
        <w:tc>
          <w:tcPr>
            <w:tcW w:w="1248" w:type="dxa"/>
          </w:tcPr>
          <w:p w14:paraId="076CC801"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24,4</w:t>
            </w:r>
          </w:p>
        </w:tc>
        <w:tc>
          <w:tcPr>
            <w:tcW w:w="1249" w:type="dxa"/>
          </w:tcPr>
          <w:p w14:paraId="73418236"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27,8</w:t>
            </w:r>
          </w:p>
        </w:tc>
        <w:tc>
          <w:tcPr>
            <w:tcW w:w="1249" w:type="dxa"/>
          </w:tcPr>
          <w:p w14:paraId="332D4622"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26,3</w:t>
            </w:r>
          </w:p>
        </w:tc>
        <w:tc>
          <w:tcPr>
            <w:tcW w:w="1178" w:type="dxa"/>
          </w:tcPr>
          <w:p w14:paraId="6AE84B35"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24,99</w:t>
            </w:r>
          </w:p>
        </w:tc>
        <w:tc>
          <w:tcPr>
            <w:tcW w:w="1093" w:type="dxa"/>
          </w:tcPr>
          <w:p w14:paraId="6C9A2DA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25,41</w:t>
            </w:r>
          </w:p>
        </w:tc>
        <w:tc>
          <w:tcPr>
            <w:tcW w:w="990" w:type="dxa"/>
          </w:tcPr>
          <w:p w14:paraId="71D76F1C"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22,33</w:t>
            </w:r>
          </w:p>
        </w:tc>
      </w:tr>
      <w:tr w:rsidR="00E372C6" w:rsidRPr="00E372C6" w14:paraId="2825486D"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A02B21C"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Caema</w:t>
            </w:r>
          </w:p>
        </w:tc>
        <w:tc>
          <w:tcPr>
            <w:tcW w:w="1248" w:type="dxa"/>
          </w:tcPr>
          <w:p w14:paraId="1477BACF"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42,3</w:t>
            </w:r>
          </w:p>
        </w:tc>
        <w:tc>
          <w:tcPr>
            <w:tcW w:w="1249" w:type="dxa"/>
          </w:tcPr>
          <w:p w14:paraId="50465A7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42,8</w:t>
            </w:r>
          </w:p>
        </w:tc>
        <w:tc>
          <w:tcPr>
            <w:tcW w:w="1249" w:type="dxa"/>
          </w:tcPr>
          <w:p w14:paraId="360A253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45,3</w:t>
            </w:r>
          </w:p>
        </w:tc>
        <w:tc>
          <w:tcPr>
            <w:tcW w:w="1178" w:type="dxa"/>
          </w:tcPr>
          <w:p w14:paraId="3E432EA3"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44,58</w:t>
            </w:r>
          </w:p>
        </w:tc>
        <w:tc>
          <w:tcPr>
            <w:tcW w:w="1093" w:type="dxa"/>
          </w:tcPr>
          <w:p w14:paraId="3260F3C4"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38,67</w:t>
            </w:r>
          </w:p>
        </w:tc>
        <w:tc>
          <w:tcPr>
            <w:tcW w:w="990" w:type="dxa"/>
          </w:tcPr>
          <w:p w14:paraId="4C7463C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39,93</w:t>
            </w:r>
          </w:p>
        </w:tc>
      </w:tr>
      <w:tr w:rsidR="00E372C6" w:rsidRPr="00E372C6" w14:paraId="5C1042D1"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95843BB"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w:t>
            </w:r>
          </w:p>
        </w:tc>
        <w:tc>
          <w:tcPr>
            <w:tcW w:w="1248" w:type="dxa"/>
          </w:tcPr>
          <w:p w14:paraId="0A2B3760"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43,4</w:t>
            </w:r>
          </w:p>
        </w:tc>
        <w:tc>
          <w:tcPr>
            <w:tcW w:w="1249" w:type="dxa"/>
          </w:tcPr>
          <w:p w14:paraId="36F81A91"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40,5</w:t>
            </w:r>
          </w:p>
        </w:tc>
        <w:tc>
          <w:tcPr>
            <w:tcW w:w="1249" w:type="dxa"/>
          </w:tcPr>
          <w:p w14:paraId="67200B75"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45,3</w:t>
            </w:r>
          </w:p>
        </w:tc>
        <w:tc>
          <w:tcPr>
            <w:tcW w:w="1178" w:type="dxa"/>
          </w:tcPr>
          <w:p w14:paraId="53647F17"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45,43</w:t>
            </w:r>
          </w:p>
        </w:tc>
        <w:tc>
          <w:tcPr>
            <w:tcW w:w="1093" w:type="dxa"/>
          </w:tcPr>
          <w:p w14:paraId="516C6B4C"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46,59</w:t>
            </w:r>
          </w:p>
        </w:tc>
        <w:tc>
          <w:tcPr>
            <w:tcW w:w="990" w:type="dxa"/>
          </w:tcPr>
          <w:p w14:paraId="475D2990"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48,26</w:t>
            </w:r>
          </w:p>
        </w:tc>
      </w:tr>
      <w:tr w:rsidR="00E372C6" w:rsidRPr="00E372C6" w14:paraId="4BEA2B56"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6E02D08"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Caerd</w:t>
            </w:r>
          </w:p>
        </w:tc>
        <w:tc>
          <w:tcPr>
            <w:tcW w:w="1248" w:type="dxa"/>
          </w:tcPr>
          <w:p w14:paraId="112C7555"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38,8</w:t>
            </w:r>
          </w:p>
        </w:tc>
        <w:tc>
          <w:tcPr>
            <w:tcW w:w="1249" w:type="dxa"/>
          </w:tcPr>
          <w:p w14:paraId="719E073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44,8</w:t>
            </w:r>
          </w:p>
        </w:tc>
        <w:tc>
          <w:tcPr>
            <w:tcW w:w="1249" w:type="dxa"/>
          </w:tcPr>
          <w:p w14:paraId="56885BF7"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40,8</w:t>
            </w:r>
          </w:p>
        </w:tc>
        <w:tc>
          <w:tcPr>
            <w:tcW w:w="1178" w:type="dxa"/>
          </w:tcPr>
          <w:p w14:paraId="483D048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39,13</w:t>
            </w:r>
          </w:p>
        </w:tc>
        <w:tc>
          <w:tcPr>
            <w:tcW w:w="1093" w:type="dxa"/>
          </w:tcPr>
          <w:p w14:paraId="67E44553"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38,58</w:t>
            </w:r>
          </w:p>
        </w:tc>
        <w:tc>
          <w:tcPr>
            <w:tcW w:w="990" w:type="dxa"/>
          </w:tcPr>
          <w:p w14:paraId="3B447285"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36,05</w:t>
            </w:r>
          </w:p>
        </w:tc>
      </w:tr>
      <w:tr w:rsidR="00E372C6" w:rsidRPr="00E372C6" w14:paraId="7654F14A"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18D65F8"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Caern</w:t>
            </w:r>
          </w:p>
        </w:tc>
        <w:tc>
          <w:tcPr>
            <w:tcW w:w="1248" w:type="dxa"/>
          </w:tcPr>
          <w:p w14:paraId="588DD23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28,3</w:t>
            </w:r>
          </w:p>
        </w:tc>
        <w:tc>
          <w:tcPr>
            <w:tcW w:w="1249" w:type="dxa"/>
          </w:tcPr>
          <w:p w14:paraId="53C6F414"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28,2</w:t>
            </w:r>
          </w:p>
        </w:tc>
        <w:tc>
          <w:tcPr>
            <w:tcW w:w="1249" w:type="dxa"/>
          </w:tcPr>
          <w:p w14:paraId="128E8A85"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26,8</w:t>
            </w:r>
          </w:p>
        </w:tc>
        <w:tc>
          <w:tcPr>
            <w:tcW w:w="1178" w:type="dxa"/>
          </w:tcPr>
          <w:p w14:paraId="0164CF56"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25,9</w:t>
            </w:r>
          </w:p>
        </w:tc>
        <w:tc>
          <w:tcPr>
            <w:tcW w:w="1093" w:type="dxa"/>
          </w:tcPr>
          <w:p w14:paraId="1372C081"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24,71</w:t>
            </w:r>
          </w:p>
        </w:tc>
        <w:tc>
          <w:tcPr>
            <w:tcW w:w="990" w:type="dxa"/>
          </w:tcPr>
          <w:p w14:paraId="344FD96D"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22,47</w:t>
            </w:r>
          </w:p>
        </w:tc>
      </w:tr>
      <w:tr w:rsidR="00E372C6" w:rsidRPr="00E372C6" w14:paraId="28A6D4C4"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3B99F67"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Caesa</w:t>
            </w:r>
          </w:p>
        </w:tc>
        <w:tc>
          <w:tcPr>
            <w:tcW w:w="1248" w:type="dxa"/>
          </w:tcPr>
          <w:p w14:paraId="732509D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85,6</w:t>
            </w:r>
          </w:p>
        </w:tc>
        <w:tc>
          <w:tcPr>
            <w:tcW w:w="1249" w:type="dxa"/>
          </w:tcPr>
          <w:p w14:paraId="6EF815C9"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85,8</w:t>
            </w:r>
          </w:p>
        </w:tc>
        <w:tc>
          <w:tcPr>
            <w:tcW w:w="1249" w:type="dxa"/>
          </w:tcPr>
          <w:p w14:paraId="3E68AA58"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85,3</w:t>
            </w:r>
          </w:p>
        </w:tc>
        <w:tc>
          <w:tcPr>
            <w:tcW w:w="1178" w:type="dxa"/>
          </w:tcPr>
          <w:p w14:paraId="505BC237"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94,48</w:t>
            </w:r>
          </w:p>
        </w:tc>
        <w:tc>
          <w:tcPr>
            <w:tcW w:w="1093" w:type="dxa"/>
          </w:tcPr>
          <w:p w14:paraId="6B36A66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71,37</w:t>
            </w:r>
          </w:p>
        </w:tc>
        <w:tc>
          <w:tcPr>
            <w:tcW w:w="990" w:type="dxa"/>
          </w:tcPr>
          <w:p w14:paraId="2A9B7366"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73,34</w:t>
            </w:r>
          </w:p>
        </w:tc>
      </w:tr>
      <w:tr w:rsidR="00E372C6" w:rsidRPr="00E372C6" w14:paraId="16E98111"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33D2C56"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lastRenderedPageBreak/>
              <w:t>Caesb</w:t>
            </w:r>
          </w:p>
        </w:tc>
        <w:tc>
          <w:tcPr>
            <w:tcW w:w="1248" w:type="dxa"/>
          </w:tcPr>
          <w:p w14:paraId="7CDA9D81"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21,6</w:t>
            </w:r>
          </w:p>
        </w:tc>
        <w:tc>
          <w:tcPr>
            <w:tcW w:w="1249" w:type="dxa"/>
          </w:tcPr>
          <w:p w14:paraId="69D95BE4"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21,1</w:t>
            </w:r>
          </w:p>
        </w:tc>
        <w:tc>
          <w:tcPr>
            <w:tcW w:w="1249" w:type="dxa"/>
          </w:tcPr>
          <w:p w14:paraId="52A727BF"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20,4</w:t>
            </w:r>
          </w:p>
        </w:tc>
        <w:tc>
          <w:tcPr>
            <w:tcW w:w="1178" w:type="dxa"/>
          </w:tcPr>
          <w:p w14:paraId="71ACB622"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21,91</w:t>
            </w:r>
          </w:p>
        </w:tc>
        <w:tc>
          <w:tcPr>
            <w:tcW w:w="1093" w:type="dxa"/>
          </w:tcPr>
          <w:p w14:paraId="09D417D6"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21,61</w:t>
            </w:r>
          </w:p>
        </w:tc>
        <w:tc>
          <w:tcPr>
            <w:tcW w:w="990" w:type="dxa"/>
          </w:tcPr>
          <w:p w14:paraId="28A32C5C"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20,72</w:t>
            </w:r>
          </w:p>
        </w:tc>
      </w:tr>
      <w:tr w:rsidR="00E372C6" w:rsidRPr="00E372C6" w14:paraId="166B74C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7093322"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Cagece</w:t>
            </w:r>
          </w:p>
        </w:tc>
        <w:tc>
          <w:tcPr>
            <w:tcW w:w="1248" w:type="dxa"/>
          </w:tcPr>
          <w:p w14:paraId="56FB5D8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17,7</w:t>
            </w:r>
          </w:p>
        </w:tc>
        <w:tc>
          <w:tcPr>
            <w:tcW w:w="1249" w:type="dxa"/>
          </w:tcPr>
          <w:p w14:paraId="04406E33"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20,1</w:t>
            </w:r>
          </w:p>
        </w:tc>
        <w:tc>
          <w:tcPr>
            <w:tcW w:w="1249" w:type="dxa"/>
          </w:tcPr>
          <w:p w14:paraId="36D03FB1"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19,5</w:t>
            </w:r>
          </w:p>
        </w:tc>
        <w:tc>
          <w:tcPr>
            <w:tcW w:w="1178" w:type="dxa"/>
          </w:tcPr>
          <w:p w14:paraId="6E2846B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18,18</w:t>
            </w:r>
          </w:p>
        </w:tc>
        <w:tc>
          <w:tcPr>
            <w:tcW w:w="1093" w:type="dxa"/>
          </w:tcPr>
          <w:p w14:paraId="1A2E878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18,37</w:t>
            </w:r>
          </w:p>
        </w:tc>
        <w:tc>
          <w:tcPr>
            <w:tcW w:w="990" w:type="dxa"/>
          </w:tcPr>
          <w:p w14:paraId="0612B30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17,14</w:t>
            </w:r>
          </w:p>
        </w:tc>
      </w:tr>
      <w:tr w:rsidR="00E372C6" w:rsidRPr="00E372C6" w14:paraId="1C60CBD0"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36BD095"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Cagepa</w:t>
            </w:r>
          </w:p>
        </w:tc>
        <w:tc>
          <w:tcPr>
            <w:tcW w:w="1248" w:type="dxa"/>
          </w:tcPr>
          <w:p w14:paraId="4A2DB93F"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21,1</w:t>
            </w:r>
          </w:p>
        </w:tc>
        <w:tc>
          <w:tcPr>
            <w:tcW w:w="1249" w:type="dxa"/>
          </w:tcPr>
          <w:p w14:paraId="57288CE9"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21,8</w:t>
            </w:r>
          </w:p>
        </w:tc>
        <w:tc>
          <w:tcPr>
            <w:tcW w:w="1249" w:type="dxa"/>
          </w:tcPr>
          <w:p w14:paraId="49B2BD7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23,9</w:t>
            </w:r>
          </w:p>
        </w:tc>
        <w:tc>
          <w:tcPr>
            <w:tcW w:w="1178" w:type="dxa"/>
          </w:tcPr>
          <w:p w14:paraId="691BF4A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22,09</w:t>
            </w:r>
          </w:p>
        </w:tc>
        <w:tc>
          <w:tcPr>
            <w:tcW w:w="1093" w:type="dxa"/>
          </w:tcPr>
          <w:p w14:paraId="70862DE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20,56</w:t>
            </w:r>
          </w:p>
        </w:tc>
        <w:tc>
          <w:tcPr>
            <w:tcW w:w="990" w:type="dxa"/>
          </w:tcPr>
          <w:p w14:paraId="669C7C7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17,71</w:t>
            </w:r>
          </w:p>
        </w:tc>
      </w:tr>
      <w:tr w:rsidR="00E372C6" w:rsidRPr="00E372C6" w14:paraId="2C3C0AD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8779C77"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Casal</w:t>
            </w:r>
          </w:p>
        </w:tc>
        <w:tc>
          <w:tcPr>
            <w:tcW w:w="1248" w:type="dxa"/>
          </w:tcPr>
          <w:p w14:paraId="2FBA5A06"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31,7</w:t>
            </w:r>
          </w:p>
        </w:tc>
        <w:tc>
          <w:tcPr>
            <w:tcW w:w="1249" w:type="dxa"/>
          </w:tcPr>
          <w:p w14:paraId="1B1C5506"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30,7</w:t>
            </w:r>
          </w:p>
        </w:tc>
        <w:tc>
          <w:tcPr>
            <w:tcW w:w="1249" w:type="dxa"/>
          </w:tcPr>
          <w:p w14:paraId="28F68D8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30,3</w:t>
            </w:r>
          </w:p>
        </w:tc>
        <w:tc>
          <w:tcPr>
            <w:tcW w:w="1178" w:type="dxa"/>
          </w:tcPr>
          <w:p w14:paraId="15A0B01E"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28,74</w:t>
            </w:r>
          </w:p>
        </w:tc>
        <w:tc>
          <w:tcPr>
            <w:tcW w:w="1093" w:type="dxa"/>
          </w:tcPr>
          <w:p w14:paraId="50911F3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28,31</w:t>
            </w:r>
          </w:p>
        </w:tc>
        <w:tc>
          <w:tcPr>
            <w:tcW w:w="990" w:type="dxa"/>
          </w:tcPr>
          <w:p w14:paraId="6A67D3F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29,28</w:t>
            </w:r>
          </w:p>
        </w:tc>
      </w:tr>
      <w:tr w:rsidR="00E372C6" w:rsidRPr="00E372C6" w14:paraId="4661C9D3"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678BEF6"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Casan</w:t>
            </w:r>
          </w:p>
        </w:tc>
        <w:tc>
          <w:tcPr>
            <w:tcW w:w="1248" w:type="dxa"/>
          </w:tcPr>
          <w:p w14:paraId="3142A994"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17,6</w:t>
            </w:r>
          </w:p>
        </w:tc>
        <w:tc>
          <w:tcPr>
            <w:tcW w:w="1249" w:type="dxa"/>
          </w:tcPr>
          <w:p w14:paraId="65704DCF"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w:t>
            </w:r>
          </w:p>
        </w:tc>
        <w:tc>
          <w:tcPr>
            <w:tcW w:w="1249" w:type="dxa"/>
          </w:tcPr>
          <w:p w14:paraId="2065DD23"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18,9</w:t>
            </w:r>
          </w:p>
        </w:tc>
        <w:tc>
          <w:tcPr>
            <w:tcW w:w="1178" w:type="dxa"/>
          </w:tcPr>
          <w:p w14:paraId="7EE14082"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19,18</w:t>
            </w:r>
          </w:p>
        </w:tc>
        <w:tc>
          <w:tcPr>
            <w:tcW w:w="1093" w:type="dxa"/>
          </w:tcPr>
          <w:p w14:paraId="2274AF4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19,19</w:t>
            </w:r>
          </w:p>
        </w:tc>
        <w:tc>
          <w:tcPr>
            <w:tcW w:w="990" w:type="dxa"/>
          </w:tcPr>
          <w:p w14:paraId="717591A8"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18,11</w:t>
            </w:r>
          </w:p>
        </w:tc>
      </w:tr>
      <w:tr w:rsidR="00E372C6" w:rsidRPr="00E372C6" w14:paraId="13BBE5C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0887DCB"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Cedae</w:t>
            </w:r>
          </w:p>
        </w:tc>
        <w:tc>
          <w:tcPr>
            <w:tcW w:w="1248" w:type="dxa"/>
          </w:tcPr>
          <w:p w14:paraId="7F4E9BED"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38</w:t>
            </w:r>
          </w:p>
        </w:tc>
        <w:tc>
          <w:tcPr>
            <w:tcW w:w="1249" w:type="dxa"/>
          </w:tcPr>
          <w:p w14:paraId="05C0C25F"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34,6</w:t>
            </w:r>
          </w:p>
        </w:tc>
        <w:tc>
          <w:tcPr>
            <w:tcW w:w="1249" w:type="dxa"/>
          </w:tcPr>
          <w:p w14:paraId="4EED5FF2"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34,74</w:t>
            </w:r>
          </w:p>
        </w:tc>
        <w:tc>
          <w:tcPr>
            <w:tcW w:w="1178" w:type="dxa"/>
          </w:tcPr>
          <w:p w14:paraId="0386B1E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35,78</w:t>
            </w:r>
          </w:p>
        </w:tc>
        <w:tc>
          <w:tcPr>
            <w:tcW w:w="1093" w:type="dxa"/>
          </w:tcPr>
          <w:p w14:paraId="6164202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35,71</w:t>
            </w:r>
          </w:p>
        </w:tc>
        <w:tc>
          <w:tcPr>
            <w:tcW w:w="990" w:type="dxa"/>
          </w:tcPr>
          <w:p w14:paraId="5932FA5F"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36,24</w:t>
            </w:r>
          </w:p>
        </w:tc>
      </w:tr>
      <w:tr w:rsidR="00E372C6" w:rsidRPr="00E372C6" w14:paraId="54374FE6"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A6BDAC4"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Cesan</w:t>
            </w:r>
          </w:p>
        </w:tc>
        <w:tc>
          <w:tcPr>
            <w:tcW w:w="1248" w:type="dxa"/>
          </w:tcPr>
          <w:p w14:paraId="06B45D42"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27,2</w:t>
            </w:r>
          </w:p>
        </w:tc>
        <w:tc>
          <w:tcPr>
            <w:tcW w:w="1249" w:type="dxa"/>
          </w:tcPr>
          <w:p w14:paraId="506A6E77"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26</w:t>
            </w:r>
          </w:p>
        </w:tc>
        <w:tc>
          <w:tcPr>
            <w:tcW w:w="1249" w:type="dxa"/>
          </w:tcPr>
          <w:p w14:paraId="1E1C9BA2"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25,4</w:t>
            </w:r>
          </w:p>
        </w:tc>
        <w:tc>
          <w:tcPr>
            <w:tcW w:w="1178" w:type="dxa"/>
          </w:tcPr>
          <w:p w14:paraId="4A8B4581"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24,44</w:t>
            </w:r>
          </w:p>
        </w:tc>
        <w:tc>
          <w:tcPr>
            <w:tcW w:w="1093" w:type="dxa"/>
          </w:tcPr>
          <w:p w14:paraId="5BF653C8"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24,62</w:t>
            </w:r>
          </w:p>
        </w:tc>
        <w:tc>
          <w:tcPr>
            <w:tcW w:w="990" w:type="dxa"/>
          </w:tcPr>
          <w:p w14:paraId="13F90B68"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22,56</w:t>
            </w:r>
          </w:p>
        </w:tc>
      </w:tr>
      <w:tr w:rsidR="00E372C6" w:rsidRPr="00E372C6" w14:paraId="5BBC7576"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9011074"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Compesa</w:t>
            </w:r>
          </w:p>
        </w:tc>
        <w:tc>
          <w:tcPr>
            <w:tcW w:w="1248" w:type="dxa"/>
          </w:tcPr>
          <w:p w14:paraId="68E1338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29,7</w:t>
            </w:r>
          </w:p>
        </w:tc>
        <w:tc>
          <w:tcPr>
            <w:tcW w:w="1249" w:type="dxa"/>
          </w:tcPr>
          <w:p w14:paraId="22832993"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31,3</w:t>
            </w:r>
          </w:p>
        </w:tc>
        <w:tc>
          <w:tcPr>
            <w:tcW w:w="1249" w:type="dxa"/>
          </w:tcPr>
          <w:p w14:paraId="1CDEAA38"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27,6</w:t>
            </w:r>
          </w:p>
        </w:tc>
        <w:tc>
          <w:tcPr>
            <w:tcW w:w="1178" w:type="dxa"/>
          </w:tcPr>
          <w:p w14:paraId="2534FA91"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25,26</w:t>
            </w:r>
          </w:p>
        </w:tc>
        <w:tc>
          <w:tcPr>
            <w:tcW w:w="1093" w:type="dxa"/>
          </w:tcPr>
          <w:p w14:paraId="7C7D4671"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24,1</w:t>
            </w:r>
          </w:p>
        </w:tc>
        <w:tc>
          <w:tcPr>
            <w:tcW w:w="990" w:type="dxa"/>
          </w:tcPr>
          <w:p w14:paraId="6D045EF9"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22,56</w:t>
            </w:r>
          </w:p>
        </w:tc>
      </w:tr>
      <w:tr w:rsidR="00E372C6" w:rsidRPr="00E372C6" w14:paraId="2753243D"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7F30535"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Copasa</w:t>
            </w:r>
          </w:p>
        </w:tc>
        <w:tc>
          <w:tcPr>
            <w:tcW w:w="1248" w:type="dxa"/>
          </w:tcPr>
          <w:p w14:paraId="711BBE2F"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17,8</w:t>
            </w:r>
          </w:p>
        </w:tc>
        <w:tc>
          <w:tcPr>
            <w:tcW w:w="1249" w:type="dxa"/>
          </w:tcPr>
          <w:p w14:paraId="505BFB8C"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17,6</w:t>
            </w:r>
          </w:p>
        </w:tc>
        <w:tc>
          <w:tcPr>
            <w:tcW w:w="1249" w:type="dxa"/>
          </w:tcPr>
          <w:p w14:paraId="73CE080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17,6</w:t>
            </w:r>
          </w:p>
        </w:tc>
        <w:tc>
          <w:tcPr>
            <w:tcW w:w="1178" w:type="dxa"/>
          </w:tcPr>
          <w:p w14:paraId="42177433"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17,42</w:t>
            </w:r>
          </w:p>
        </w:tc>
        <w:tc>
          <w:tcPr>
            <w:tcW w:w="1093" w:type="dxa"/>
          </w:tcPr>
          <w:p w14:paraId="18D19914"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16,77</w:t>
            </w:r>
          </w:p>
        </w:tc>
        <w:tc>
          <w:tcPr>
            <w:tcW w:w="990" w:type="dxa"/>
          </w:tcPr>
          <w:p w14:paraId="3BEA51D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15,32</w:t>
            </w:r>
          </w:p>
        </w:tc>
      </w:tr>
      <w:tr w:rsidR="00E372C6" w:rsidRPr="00E372C6" w14:paraId="27FB50E9"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BA1FE4B"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Corsan</w:t>
            </w:r>
          </w:p>
        </w:tc>
        <w:tc>
          <w:tcPr>
            <w:tcW w:w="1248" w:type="dxa"/>
          </w:tcPr>
          <w:p w14:paraId="50A55DAF"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20,1</w:t>
            </w:r>
          </w:p>
        </w:tc>
        <w:tc>
          <w:tcPr>
            <w:tcW w:w="1249" w:type="dxa"/>
          </w:tcPr>
          <w:p w14:paraId="7307E5A0"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19,1</w:t>
            </w:r>
          </w:p>
        </w:tc>
        <w:tc>
          <w:tcPr>
            <w:tcW w:w="1249" w:type="dxa"/>
          </w:tcPr>
          <w:p w14:paraId="11013047"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18,5</w:t>
            </w:r>
          </w:p>
        </w:tc>
        <w:tc>
          <w:tcPr>
            <w:tcW w:w="1178" w:type="dxa"/>
          </w:tcPr>
          <w:p w14:paraId="75A5BEB9"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w:t>
            </w:r>
          </w:p>
        </w:tc>
        <w:tc>
          <w:tcPr>
            <w:tcW w:w="1093" w:type="dxa"/>
          </w:tcPr>
          <w:p w14:paraId="7292C27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18,17</w:t>
            </w:r>
          </w:p>
        </w:tc>
        <w:tc>
          <w:tcPr>
            <w:tcW w:w="990" w:type="dxa"/>
          </w:tcPr>
          <w:p w14:paraId="033BCB85"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17,5</w:t>
            </w:r>
          </w:p>
        </w:tc>
      </w:tr>
      <w:tr w:rsidR="00E372C6" w:rsidRPr="00E372C6" w14:paraId="55550E5F"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F5BB8D6"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Cosanpa</w:t>
            </w:r>
          </w:p>
        </w:tc>
        <w:tc>
          <w:tcPr>
            <w:tcW w:w="1248" w:type="dxa"/>
          </w:tcPr>
          <w:p w14:paraId="2CCED172"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27,4</w:t>
            </w:r>
          </w:p>
        </w:tc>
        <w:tc>
          <w:tcPr>
            <w:tcW w:w="1249" w:type="dxa"/>
          </w:tcPr>
          <w:p w14:paraId="1545C4E1"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27,4</w:t>
            </w:r>
          </w:p>
        </w:tc>
        <w:tc>
          <w:tcPr>
            <w:tcW w:w="1249" w:type="dxa"/>
          </w:tcPr>
          <w:p w14:paraId="309EA3A3"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27,4</w:t>
            </w:r>
          </w:p>
        </w:tc>
        <w:tc>
          <w:tcPr>
            <w:tcW w:w="1178" w:type="dxa"/>
          </w:tcPr>
          <w:p w14:paraId="50F86B05"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27,31</w:t>
            </w:r>
          </w:p>
        </w:tc>
        <w:tc>
          <w:tcPr>
            <w:tcW w:w="1093" w:type="dxa"/>
          </w:tcPr>
          <w:p w14:paraId="652E919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27,46</w:t>
            </w:r>
          </w:p>
        </w:tc>
        <w:tc>
          <w:tcPr>
            <w:tcW w:w="990" w:type="dxa"/>
          </w:tcPr>
          <w:p w14:paraId="4694CBA3"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27,33</w:t>
            </w:r>
          </w:p>
        </w:tc>
      </w:tr>
      <w:tr w:rsidR="00E372C6" w:rsidRPr="00E372C6" w14:paraId="776723D6"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B152A67"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Depasa</w:t>
            </w:r>
          </w:p>
        </w:tc>
        <w:tc>
          <w:tcPr>
            <w:tcW w:w="1248" w:type="dxa"/>
          </w:tcPr>
          <w:p w14:paraId="36088DB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50,8</w:t>
            </w:r>
          </w:p>
        </w:tc>
        <w:tc>
          <w:tcPr>
            <w:tcW w:w="1249" w:type="dxa"/>
          </w:tcPr>
          <w:p w14:paraId="01321063"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45,8</w:t>
            </w:r>
          </w:p>
        </w:tc>
        <w:tc>
          <w:tcPr>
            <w:tcW w:w="1249" w:type="dxa"/>
          </w:tcPr>
          <w:p w14:paraId="78AB4415"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57,2</w:t>
            </w:r>
          </w:p>
        </w:tc>
        <w:tc>
          <w:tcPr>
            <w:tcW w:w="1178" w:type="dxa"/>
          </w:tcPr>
          <w:p w14:paraId="5D5FDA95"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42,62</w:t>
            </w:r>
          </w:p>
        </w:tc>
        <w:tc>
          <w:tcPr>
            <w:tcW w:w="1093" w:type="dxa"/>
          </w:tcPr>
          <w:p w14:paraId="41515C5F"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46,61</w:t>
            </w:r>
          </w:p>
        </w:tc>
        <w:tc>
          <w:tcPr>
            <w:tcW w:w="990" w:type="dxa"/>
          </w:tcPr>
          <w:p w14:paraId="695184F9"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43,39</w:t>
            </w:r>
          </w:p>
        </w:tc>
      </w:tr>
      <w:tr w:rsidR="00E372C6" w:rsidRPr="00E372C6" w14:paraId="4EBE3F35"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AD6D1B6"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Deso</w:t>
            </w:r>
          </w:p>
        </w:tc>
        <w:tc>
          <w:tcPr>
            <w:tcW w:w="1248" w:type="dxa"/>
          </w:tcPr>
          <w:p w14:paraId="2E380E75"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29,1</w:t>
            </w:r>
          </w:p>
        </w:tc>
        <w:tc>
          <w:tcPr>
            <w:tcW w:w="1249" w:type="dxa"/>
          </w:tcPr>
          <w:p w14:paraId="378F6217"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30,4</w:t>
            </w:r>
          </w:p>
        </w:tc>
        <w:tc>
          <w:tcPr>
            <w:tcW w:w="1249" w:type="dxa"/>
          </w:tcPr>
          <w:p w14:paraId="12B2E00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29,6</w:t>
            </w:r>
          </w:p>
        </w:tc>
        <w:tc>
          <w:tcPr>
            <w:tcW w:w="1178" w:type="dxa"/>
          </w:tcPr>
          <w:p w14:paraId="734A2870"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28,78</w:t>
            </w:r>
          </w:p>
        </w:tc>
        <w:tc>
          <w:tcPr>
            <w:tcW w:w="1093" w:type="dxa"/>
          </w:tcPr>
          <w:p w14:paraId="7EFE4918"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28,9</w:t>
            </w:r>
          </w:p>
        </w:tc>
        <w:tc>
          <w:tcPr>
            <w:tcW w:w="990" w:type="dxa"/>
          </w:tcPr>
          <w:p w14:paraId="7C471A05"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23,53</w:t>
            </w:r>
          </w:p>
        </w:tc>
      </w:tr>
      <w:tr w:rsidR="00E372C6" w:rsidRPr="00E372C6" w14:paraId="0853A0B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38BA4CD"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Embasa</w:t>
            </w:r>
          </w:p>
        </w:tc>
        <w:tc>
          <w:tcPr>
            <w:tcW w:w="1248" w:type="dxa"/>
          </w:tcPr>
          <w:p w14:paraId="4F3E306D"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w:t>
            </w:r>
          </w:p>
        </w:tc>
        <w:tc>
          <w:tcPr>
            <w:tcW w:w="1249" w:type="dxa"/>
          </w:tcPr>
          <w:p w14:paraId="1FD4AB6D"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18,3</w:t>
            </w:r>
          </w:p>
        </w:tc>
        <w:tc>
          <w:tcPr>
            <w:tcW w:w="1249" w:type="dxa"/>
          </w:tcPr>
          <w:p w14:paraId="3CC148A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w:t>
            </w:r>
          </w:p>
        </w:tc>
        <w:tc>
          <w:tcPr>
            <w:tcW w:w="1178" w:type="dxa"/>
          </w:tcPr>
          <w:p w14:paraId="5E0D9A51"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18,53</w:t>
            </w:r>
          </w:p>
        </w:tc>
        <w:tc>
          <w:tcPr>
            <w:tcW w:w="1093" w:type="dxa"/>
          </w:tcPr>
          <w:p w14:paraId="4AE5F93B"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17,83</w:t>
            </w:r>
          </w:p>
        </w:tc>
        <w:tc>
          <w:tcPr>
            <w:tcW w:w="990" w:type="dxa"/>
          </w:tcPr>
          <w:p w14:paraId="7397242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17,13</w:t>
            </w:r>
          </w:p>
        </w:tc>
      </w:tr>
      <w:tr w:rsidR="00E372C6" w:rsidRPr="00E372C6" w14:paraId="773C9163"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B49B30D"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Sabesp</w:t>
            </w:r>
          </w:p>
        </w:tc>
        <w:tc>
          <w:tcPr>
            <w:tcW w:w="1248" w:type="dxa"/>
          </w:tcPr>
          <w:p w14:paraId="2566A508"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24,8</w:t>
            </w:r>
          </w:p>
        </w:tc>
        <w:tc>
          <w:tcPr>
            <w:tcW w:w="1249" w:type="dxa"/>
          </w:tcPr>
          <w:p w14:paraId="6DD5FD4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24,5</w:t>
            </w:r>
          </w:p>
        </w:tc>
        <w:tc>
          <w:tcPr>
            <w:tcW w:w="1249" w:type="dxa"/>
          </w:tcPr>
          <w:p w14:paraId="45631AD6"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24,2</w:t>
            </w:r>
          </w:p>
        </w:tc>
        <w:tc>
          <w:tcPr>
            <w:tcW w:w="1178" w:type="dxa"/>
          </w:tcPr>
          <w:p w14:paraId="06094F80"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23,63</w:t>
            </w:r>
          </w:p>
        </w:tc>
        <w:tc>
          <w:tcPr>
            <w:tcW w:w="1093" w:type="dxa"/>
          </w:tcPr>
          <w:p w14:paraId="2E3B871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21,43</w:t>
            </w:r>
          </w:p>
        </w:tc>
        <w:tc>
          <w:tcPr>
            <w:tcW w:w="990" w:type="dxa"/>
          </w:tcPr>
          <w:p w14:paraId="3CBB446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18,19</w:t>
            </w:r>
          </w:p>
        </w:tc>
      </w:tr>
      <w:tr w:rsidR="00E372C6" w:rsidRPr="00E372C6" w14:paraId="32E62165"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9A27EF8"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Saneago</w:t>
            </w:r>
          </w:p>
        </w:tc>
        <w:tc>
          <w:tcPr>
            <w:tcW w:w="1248" w:type="dxa"/>
          </w:tcPr>
          <w:p w14:paraId="19EDE19D"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17,7</w:t>
            </w:r>
          </w:p>
        </w:tc>
        <w:tc>
          <w:tcPr>
            <w:tcW w:w="1249" w:type="dxa"/>
          </w:tcPr>
          <w:p w14:paraId="55F4FEA1"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17,4</w:t>
            </w:r>
          </w:p>
        </w:tc>
        <w:tc>
          <w:tcPr>
            <w:tcW w:w="1249" w:type="dxa"/>
          </w:tcPr>
          <w:p w14:paraId="32D941FA"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w:t>
            </w:r>
          </w:p>
        </w:tc>
        <w:tc>
          <w:tcPr>
            <w:tcW w:w="1178" w:type="dxa"/>
          </w:tcPr>
          <w:p w14:paraId="53C4E557"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16,43</w:t>
            </w:r>
          </w:p>
        </w:tc>
        <w:tc>
          <w:tcPr>
            <w:tcW w:w="1093" w:type="dxa"/>
          </w:tcPr>
          <w:p w14:paraId="439F2C6C"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16,14</w:t>
            </w:r>
          </w:p>
        </w:tc>
        <w:tc>
          <w:tcPr>
            <w:tcW w:w="990" w:type="dxa"/>
          </w:tcPr>
          <w:p w14:paraId="4C7801B4"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15,33</w:t>
            </w:r>
          </w:p>
        </w:tc>
      </w:tr>
      <w:tr w:rsidR="00E372C6" w:rsidRPr="00E372C6" w14:paraId="3B2A258F"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19BF2B6"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Saneatins</w:t>
            </w:r>
          </w:p>
        </w:tc>
        <w:tc>
          <w:tcPr>
            <w:tcW w:w="1248" w:type="dxa"/>
          </w:tcPr>
          <w:p w14:paraId="16BB13D9"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19,1</w:t>
            </w:r>
          </w:p>
        </w:tc>
        <w:tc>
          <w:tcPr>
            <w:tcW w:w="1249" w:type="dxa"/>
          </w:tcPr>
          <w:p w14:paraId="21F53C9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18,8</w:t>
            </w:r>
          </w:p>
        </w:tc>
        <w:tc>
          <w:tcPr>
            <w:tcW w:w="1249" w:type="dxa"/>
          </w:tcPr>
          <w:p w14:paraId="5822D8C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19,1</w:t>
            </w:r>
          </w:p>
        </w:tc>
        <w:tc>
          <w:tcPr>
            <w:tcW w:w="1178" w:type="dxa"/>
          </w:tcPr>
          <w:p w14:paraId="4BE43026"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17,81</w:t>
            </w:r>
          </w:p>
        </w:tc>
        <w:tc>
          <w:tcPr>
            <w:tcW w:w="1093" w:type="dxa"/>
          </w:tcPr>
          <w:p w14:paraId="0C180F6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18,68</w:t>
            </w:r>
          </w:p>
        </w:tc>
        <w:tc>
          <w:tcPr>
            <w:tcW w:w="990" w:type="dxa"/>
          </w:tcPr>
          <w:p w14:paraId="12149879"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18,98</w:t>
            </w:r>
          </w:p>
        </w:tc>
      </w:tr>
      <w:tr w:rsidR="00E372C6" w:rsidRPr="00E372C6" w14:paraId="6042EA22"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AEFC35A"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Sanepar</w:t>
            </w:r>
          </w:p>
        </w:tc>
        <w:tc>
          <w:tcPr>
            <w:tcW w:w="1248" w:type="dxa"/>
          </w:tcPr>
          <w:p w14:paraId="3B263CD2"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17,8</w:t>
            </w:r>
          </w:p>
        </w:tc>
        <w:tc>
          <w:tcPr>
            <w:tcW w:w="1249" w:type="dxa"/>
          </w:tcPr>
          <w:p w14:paraId="44F8180F"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w:t>
            </w:r>
          </w:p>
        </w:tc>
        <w:tc>
          <w:tcPr>
            <w:tcW w:w="1249" w:type="dxa"/>
          </w:tcPr>
          <w:p w14:paraId="7CBFD422"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18,2</w:t>
            </w:r>
          </w:p>
        </w:tc>
        <w:tc>
          <w:tcPr>
            <w:tcW w:w="1178" w:type="dxa"/>
          </w:tcPr>
          <w:p w14:paraId="663A10A3"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17,67</w:t>
            </w:r>
          </w:p>
        </w:tc>
        <w:tc>
          <w:tcPr>
            <w:tcW w:w="1093" w:type="dxa"/>
          </w:tcPr>
          <w:p w14:paraId="5C9D39D2"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17,34</w:t>
            </w:r>
          </w:p>
        </w:tc>
        <w:tc>
          <w:tcPr>
            <w:tcW w:w="990" w:type="dxa"/>
          </w:tcPr>
          <w:p w14:paraId="16C009C1" w14:textId="77777777" w:rsidR="00E372C6" w:rsidRPr="00EA348F" w:rsidRDefault="00E372C6">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16,61</w:t>
            </w:r>
          </w:p>
        </w:tc>
      </w:tr>
      <w:tr w:rsidR="00E372C6" w:rsidRPr="00E372C6" w14:paraId="2837A2B6" w14:textId="77777777" w:rsidTr="00E372C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21CFCF6" w14:textId="77777777" w:rsidR="00E372C6" w:rsidRPr="00EA348F" w:rsidRDefault="00E372C6">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Sanesul</w:t>
            </w:r>
          </w:p>
        </w:tc>
        <w:tc>
          <w:tcPr>
            <w:tcW w:w="1248" w:type="dxa"/>
          </w:tcPr>
          <w:p w14:paraId="2D211E58"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20,6</w:t>
            </w:r>
          </w:p>
        </w:tc>
        <w:tc>
          <w:tcPr>
            <w:tcW w:w="1249" w:type="dxa"/>
          </w:tcPr>
          <w:p w14:paraId="6A95D98E"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20,2</w:t>
            </w:r>
          </w:p>
        </w:tc>
        <w:tc>
          <w:tcPr>
            <w:tcW w:w="1249" w:type="dxa"/>
          </w:tcPr>
          <w:p w14:paraId="11C80749"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20,3</w:t>
            </w:r>
          </w:p>
        </w:tc>
        <w:tc>
          <w:tcPr>
            <w:tcW w:w="1178" w:type="dxa"/>
          </w:tcPr>
          <w:p w14:paraId="41CC482C"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19,56</w:t>
            </w:r>
          </w:p>
        </w:tc>
        <w:tc>
          <w:tcPr>
            <w:tcW w:w="1093" w:type="dxa"/>
          </w:tcPr>
          <w:p w14:paraId="54F992D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19,31</w:t>
            </w:r>
          </w:p>
        </w:tc>
        <w:tc>
          <w:tcPr>
            <w:tcW w:w="990" w:type="dxa"/>
          </w:tcPr>
          <w:p w14:paraId="0583B15B" w14:textId="77777777" w:rsidR="00E372C6" w:rsidRPr="00EA348F" w:rsidRDefault="00E372C6">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18,51</w:t>
            </w:r>
          </w:p>
        </w:tc>
      </w:tr>
    </w:tbl>
    <w:p w14:paraId="3985D8C5" w14:textId="440F0E48" w:rsidR="00AA4E85" w:rsidRPr="00042F25" w:rsidRDefault="008B0F89" w:rsidP="00D10FED">
      <w:pPr>
        <w:pStyle w:val="Descripcin"/>
        <w:spacing w:before="0" w:beforeAutospacing="0"/>
        <w:jc w:val="left"/>
        <w:rPr>
          <w:sz w:val="20"/>
        </w:rPr>
      </w:pPr>
      <w:r w:rsidRPr="00042F25">
        <w:rPr>
          <w:sz w:val="20"/>
        </w:rPr>
        <w:t>Fonte: SNIS 201</w:t>
      </w:r>
      <w:r w:rsidR="00D10FED" w:rsidRPr="00042F25">
        <w:rPr>
          <w:sz w:val="20"/>
        </w:rPr>
        <w:t>5. Elaborado por: GO Associados</w:t>
      </w:r>
    </w:p>
    <w:p w14:paraId="10A3B85A" w14:textId="77777777" w:rsidR="00D10FED" w:rsidRPr="00042F25" w:rsidRDefault="00D10FED" w:rsidP="00D10FED"/>
    <w:p w14:paraId="6A5682E6" w14:textId="652D08A0" w:rsidR="00C8337E" w:rsidRPr="00042F25" w:rsidRDefault="00146208" w:rsidP="00245A0A">
      <w:pPr>
        <w:pStyle w:val="Ttulo1"/>
      </w:pPr>
      <w:bookmarkStart w:id="17" w:name="_Toc493094923"/>
      <w:r w:rsidRPr="00042F25">
        <w:lastRenderedPageBreak/>
        <w:t>Atendimento</w:t>
      </w:r>
      <w:bookmarkEnd w:id="17"/>
    </w:p>
    <w:p w14:paraId="214E021A" w14:textId="3C0B2C62" w:rsidR="00056728" w:rsidRDefault="00056728" w:rsidP="00056728">
      <w:r w:rsidRPr="00042F25">
        <w:t xml:space="preserve">O objetivo desta Seção é mostrar os índices de </w:t>
      </w:r>
      <w:r w:rsidR="00597DA6" w:rsidRPr="00042F25">
        <w:t>atendimento</w:t>
      </w:r>
      <w:r w:rsidR="00756448" w:rsidRPr="00042F25">
        <w:t xml:space="preserve"> das empresas</w:t>
      </w:r>
      <w:r w:rsidRPr="00042F25">
        <w:t xml:space="preserve">. A </w:t>
      </w:r>
      <w:r w:rsidR="00042F25">
        <w:t>subseção</w:t>
      </w:r>
      <w:r w:rsidRPr="00042F25">
        <w:t xml:space="preserve"> 4.1 analisa o índice de coleta de esgoto (IN015), a</w:t>
      </w:r>
      <w:r w:rsidR="00EF4D1E">
        <w:rPr>
          <w:strike/>
        </w:rPr>
        <w:t xml:space="preserve"> </w:t>
      </w:r>
      <w:r w:rsidR="00042F25">
        <w:t>subseção</w:t>
      </w:r>
      <w:r w:rsidRPr="00042F25">
        <w:t xml:space="preserve"> 4.2 </w:t>
      </w:r>
      <w:r w:rsidR="008708FA" w:rsidRPr="00042F25">
        <w:t>explora</w:t>
      </w:r>
      <w:r w:rsidRPr="00042F25">
        <w:t xml:space="preserve"> o índice de esgoto tratado </w:t>
      </w:r>
      <w:r w:rsidR="00756448" w:rsidRPr="00042F25">
        <w:t xml:space="preserve">(IN046) </w:t>
      </w:r>
      <w:r w:rsidRPr="00042F25">
        <w:t xml:space="preserve">e a </w:t>
      </w:r>
      <w:r w:rsidR="00042F25">
        <w:t>subseção</w:t>
      </w:r>
      <w:r w:rsidRPr="00042F25">
        <w:t xml:space="preserve"> 4.3 </w:t>
      </w:r>
      <w:r w:rsidR="009679B4" w:rsidRPr="00042F25">
        <w:t>examina</w:t>
      </w:r>
      <w:r w:rsidRPr="00042F25">
        <w:t xml:space="preserve"> os índices de atendimento urbano de água (IN023), total de água (IN055), urbano de esgoto (IN024) e total de esgoto (IN056).</w:t>
      </w:r>
    </w:p>
    <w:p w14:paraId="40B6E90F" w14:textId="4649BA73" w:rsidR="00BC6CA7" w:rsidRPr="00EA348F" w:rsidRDefault="00BC6CA7" w:rsidP="00BC6CA7">
      <w:pPr>
        <w:rPr>
          <w:lang w:val="pt-PT"/>
        </w:rPr>
      </w:pPr>
      <w:r w:rsidRPr="00EA348F">
        <w:rPr>
          <w:lang w:val="pt-PT"/>
        </w:rPr>
        <w:t xml:space="preserve">Como </w:t>
      </w:r>
      <w:r w:rsidR="00EF4D1E">
        <w:rPr>
          <w:lang w:val="pt-PT"/>
        </w:rPr>
        <w:t>apresentado</w:t>
      </w:r>
      <w:r w:rsidRPr="00EA348F">
        <w:rPr>
          <w:lang w:val="pt-PT"/>
        </w:rPr>
        <w:t xml:space="preserve"> no Quadro 1, os indicadores escolhidos para caracterizar os níveis de atendimento para os serviços de abastecimento de água e de esgotamento sanitário, </w:t>
      </w:r>
      <w:r w:rsidR="00A0511A" w:rsidRPr="00A0511A">
        <w:rPr>
          <w:lang w:val="pt-PT"/>
        </w:rPr>
        <w:t>são relevantes para que se possa ter um cenário atualizado e comparativo de cada aspecto em avaliação</w:t>
      </w:r>
      <w:r w:rsidRPr="00EA348F">
        <w:rPr>
          <w:lang w:val="pt-PT"/>
        </w:rPr>
        <w:t xml:space="preserve">. </w:t>
      </w:r>
      <w:r w:rsidR="00A0511A" w:rsidRPr="00A0511A">
        <w:rPr>
          <w:lang w:val="pt-PT"/>
        </w:rPr>
        <w:t>A classificação apresentada não tem o intuito de promover competições ou comparações qualitativas entre as CESB e sim para possibilitar uma visão regionalizada e nacional dos índices</w:t>
      </w:r>
      <w:r w:rsidRPr="00EA348F">
        <w:rPr>
          <w:lang w:val="pt-PT"/>
        </w:rPr>
        <w:t>.</w:t>
      </w:r>
    </w:p>
    <w:p w14:paraId="495B5574" w14:textId="2625A5B1" w:rsidR="00AD258A" w:rsidRDefault="00A0511A" w:rsidP="00AD258A">
      <w:r>
        <w:t xml:space="preserve">Como mencionado na Seção 2 “Metodologia”, </w:t>
      </w:r>
      <w:r w:rsidR="00AD258A">
        <w:t>com o propósito de avaliar o desempenho das 25 empresas de forma comparativa, os indicadores de cada uma das qua</w:t>
      </w:r>
      <w:r w:rsidR="00D21F17">
        <w:t>tro categorias são hierarquizados</w:t>
      </w:r>
      <w:r w:rsidR="00AD258A">
        <w:t xml:space="preserve"> utilizando o critério de maior eficiência a menor eficiência e classificados com os valores a seguir:</w:t>
      </w:r>
    </w:p>
    <w:p w14:paraId="436BC4BA" w14:textId="77777777" w:rsidR="00AD258A" w:rsidRDefault="00AD258A" w:rsidP="00AD258A">
      <w:pPr>
        <w:pStyle w:val="Prrafodelista"/>
        <w:numPr>
          <w:ilvl w:val="0"/>
          <w:numId w:val="45"/>
        </w:numPr>
      </w:pPr>
      <w:r>
        <w:t>Verde: 1º a 8º lugar</w:t>
      </w:r>
      <w:r w:rsidRPr="00042F25">
        <w:t xml:space="preserve"> </w:t>
      </w:r>
    </w:p>
    <w:p w14:paraId="1866E312" w14:textId="77777777" w:rsidR="00AD258A" w:rsidRDefault="00AD258A" w:rsidP="00AD258A">
      <w:pPr>
        <w:pStyle w:val="Prrafodelista"/>
        <w:numPr>
          <w:ilvl w:val="0"/>
          <w:numId w:val="45"/>
        </w:numPr>
      </w:pPr>
      <w:r>
        <w:t xml:space="preserve">Amarelo: 9º a 16º lugar </w:t>
      </w:r>
    </w:p>
    <w:p w14:paraId="3E21F8AA" w14:textId="77777777" w:rsidR="00AD258A" w:rsidRPr="00455ABB" w:rsidRDefault="00AD258A" w:rsidP="00AD258A">
      <w:pPr>
        <w:pStyle w:val="Prrafodelista"/>
        <w:numPr>
          <w:ilvl w:val="0"/>
          <w:numId w:val="45"/>
        </w:numPr>
      </w:pPr>
      <w:r>
        <w:t>Vermelho: 17º a 25º lugar</w:t>
      </w:r>
    </w:p>
    <w:p w14:paraId="7F35863D" w14:textId="77777777" w:rsidR="00AD258A" w:rsidRDefault="00AD258A" w:rsidP="00EA348F">
      <w:pPr>
        <w:ind w:firstLine="0"/>
      </w:pPr>
    </w:p>
    <w:p w14:paraId="4F2A18AF" w14:textId="77777777" w:rsidR="00AD258A" w:rsidRDefault="00AD258A" w:rsidP="00EA348F">
      <w:pPr>
        <w:ind w:firstLine="0"/>
      </w:pPr>
    </w:p>
    <w:p w14:paraId="1D01C19A" w14:textId="77777777" w:rsidR="00AD258A" w:rsidRDefault="00AD258A" w:rsidP="00EA348F">
      <w:pPr>
        <w:ind w:firstLine="0"/>
      </w:pPr>
    </w:p>
    <w:p w14:paraId="676CE41F" w14:textId="77777777" w:rsidR="00AD258A" w:rsidRDefault="00AD258A" w:rsidP="00EA348F">
      <w:pPr>
        <w:ind w:firstLine="0"/>
      </w:pPr>
    </w:p>
    <w:p w14:paraId="5778556C" w14:textId="77777777" w:rsidR="00AD258A" w:rsidRDefault="00AD258A" w:rsidP="00EA348F">
      <w:pPr>
        <w:ind w:firstLine="0"/>
      </w:pPr>
    </w:p>
    <w:p w14:paraId="2E31F1B6" w14:textId="5D7AE82E" w:rsidR="00AD258A" w:rsidRPr="00EA348F" w:rsidRDefault="00AD258A" w:rsidP="00EA348F">
      <w:pPr>
        <w:pStyle w:val="Descripcin"/>
      </w:pPr>
      <w:bookmarkStart w:id="18" w:name="_Toc493222473"/>
      <w:r w:rsidRPr="00042F25">
        <w:lastRenderedPageBreak/>
        <w:t xml:space="preserve">Quadro </w:t>
      </w:r>
      <w:fldSimple w:instr=" SEQ Quadro \* ARABIC ">
        <w:r>
          <w:rPr>
            <w:noProof/>
          </w:rPr>
          <w:t>9</w:t>
        </w:r>
      </w:fldSimple>
      <w:r>
        <w:t xml:space="preserve"> – RANKING ÍNDICES DE ATENDIMENTO 2015</w:t>
      </w:r>
      <w:bookmarkEnd w:id="18"/>
    </w:p>
    <w:tbl>
      <w:tblPr>
        <w:tblW w:w="9946" w:type="dxa"/>
        <w:jc w:val="center"/>
        <w:tblCellMar>
          <w:left w:w="70" w:type="dxa"/>
          <w:right w:w="70" w:type="dxa"/>
        </w:tblCellMar>
        <w:tblLook w:val="04A0" w:firstRow="1" w:lastRow="0" w:firstColumn="1" w:lastColumn="0" w:noHBand="0" w:noVBand="1"/>
      </w:tblPr>
      <w:tblGrid>
        <w:gridCol w:w="1240"/>
        <w:gridCol w:w="1240"/>
        <w:gridCol w:w="1660"/>
        <w:gridCol w:w="1363"/>
        <w:gridCol w:w="1363"/>
        <w:gridCol w:w="1420"/>
        <w:gridCol w:w="1660"/>
      </w:tblGrid>
      <w:tr w:rsidR="00AD258A" w:rsidRPr="00AD258A" w14:paraId="505C21D2" w14:textId="77777777" w:rsidTr="00EA348F">
        <w:trPr>
          <w:trHeight w:val="312"/>
          <w:jc w:val="center"/>
        </w:trPr>
        <w:tc>
          <w:tcPr>
            <w:tcW w:w="1240" w:type="dxa"/>
            <w:vMerge w:val="restart"/>
            <w:tcBorders>
              <w:top w:val="single" w:sz="8" w:space="0" w:color="A9D08E"/>
              <w:left w:val="nil"/>
              <w:bottom w:val="single" w:sz="8" w:space="0" w:color="A9D08E"/>
              <w:right w:val="nil"/>
            </w:tcBorders>
            <w:shd w:val="clear" w:color="000000" w:fill="70AD47"/>
            <w:noWrap/>
            <w:vAlign w:val="center"/>
            <w:hideMark/>
          </w:tcPr>
          <w:p w14:paraId="75B15B51" w14:textId="77777777" w:rsidR="00AD258A" w:rsidRPr="00EA348F" w:rsidRDefault="00AD258A" w:rsidP="00AD258A">
            <w:pPr>
              <w:spacing w:before="0" w:beforeAutospacing="0" w:after="0" w:afterAutospacing="0" w:line="240" w:lineRule="auto"/>
              <w:ind w:firstLine="0"/>
              <w:jc w:val="left"/>
              <w:rPr>
                <w:b/>
                <w:bCs/>
                <w:color w:val="FFFFFF"/>
                <w:sz w:val="22"/>
                <w:lang w:eastAsia="es-CO"/>
              </w:rPr>
            </w:pPr>
            <w:r w:rsidRPr="00272793">
              <w:rPr>
                <w:b/>
                <w:bCs/>
                <w:color w:val="FFFFFF"/>
                <w:sz w:val="22"/>
                <w:lang w:eastAsia="es-CO"/>
              </w:rPr>
              <w:t>Empresa</w:t>
            </w:r>
          </w:p>
        </w:tc>
        <w:tc>
          <w:tcPr>
            <w:tcW w:w="1240" w:type="dxa"/>
            <w:tcBorders>
              <w:top w:val="single" w:sz="8" w:space="0" w:color="A9D08E"/>
              <w:left w:val="nil"/>
              <w:bottom w:val="nil"/>
              <w:right w:val="nil"/>
            </w:tcBorders>
            <w:shd w:val="clear" w:color="000000" w:fill="70AD47"/>
            <w:vAlign w:val="center"/>
            <w:hideMark/>
          </w:tcPr>
          <w:p w14:paraId="30092BA9"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IN015</w:t>
            </w:r>
          </w:p>
        </w:tc>
        <w:tc>
          <w:tcPr>
            <w:tcW w:w="1660" w:type="dxa"/>
            <w:tcBorders>
              <w:top w:val="single" w:sz="8" w:space="0" w:color="A9D08E"/>
              <w:left w:val="nil"/>
              <w:bottom w:val="nil"/>
              <w:right w:val="nil"/>
            </w:tcBorders>
            <w:shd w:val="clear" w:color="000000" w:fill="70AD47"/>
            <w:vAlign w:val="center"/>
            <w:hideMark/>
          </w:tcPr>
          <w:p w14:paraId="6ADCC856"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 xml:space="preserve">IN046 </w:t>
            </w:r>
          </w:p>
        </w:tc>
        <w:tc>
          <w:tcPr>
            <w:tcW w:w="1363" w:type="dxa"/>
            <w:tcBorders>
              <w:top w:val="single" w:sz="8" w:space="0" w:color="A9D08E"/>
              <w:left w:val="nil"/>
              <w:bottom w:val="nil"/>
              <w:right w:val="nil"/>
            </w:tcBorders>
            <w:shd w:val="clear" w:color="000000" w:fill="70AD47"/>
            <w:vAlign w:val="center"/>
            <w:hideMark/>
          </w:tcPr>
          <w:p w14:paraId="32FE7232"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 xml:space="preserve">IN023 </w:t>
            </w:r>
          </w:p>
        </w:tc>
        <w:tc>
          <w:tcPr>
            <w:tcW w:w="1363" w:type="dxa"/>
            <w:tcBorders>
              <w:top w:val="single" w:sz="8" w:space="0" w:color="A9D08E"/>
              <w:left w:val="nil"/>
              <w:bottom w:val="nil"/>
              <w:right w:val="nil"/>
            </w:tcBorders>
            <w:shd w:val="clear" w:color="000000" w:fill="70AD47"/>
            <w:noWrap/>
            <w:vAlign w:val="center"/>
            <w:hideMark/>
          </w:tcPr>
          <w:p w14:paraId="666FB1D1"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IN055</w:t>
            </w:r>
          </w:p>
        </w:tc>
        <w:tc>
          <w:tcPr>
            <w:tcW w:w="1420" w:type="dxa"/>
            <w:tcBorders>
              <w:top w:val="single" w:sz="8" w:space="0" w:color="A9D08E"/>
              <w:left w:val="nil"/>
              <w:bottom w:val="nil"/>
              <w:right w:val="nil"/>
            </w:tcBorders>
            <w:shd w:val="clear" w:color="000000" w:fill="70AD47"/>
            <w:noWrap/>
            <w:vAlign w:val="center"/>
            <w:hideMark/>
          </w:tcPr>
          <w:p w14:paraId="66058DF8"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IN024</w:t>
            </w:r>
          </w:p>
        </w:tc>
        <w:tc>
          <w:tcPr>
            <w:tcW w:w="1660" w:type="dxa"/>
            <w:tcBorders>
              <w:top w:val="single" w:sz="8" w:space="0" w:color="A9D08E"/>
              <w:left w:val="nil"/>
              <w:bottom w:val="nil"/>
              <w:right w:val="nil"/>
            </w:tcBorders>
            <w:shd w:val="clear" w:color="000000" w:fill="70AD47"/>
            <w:vAlign w:val="center"/>
            <w:hideMark/>
          </w:tcPr>
          <w:p w14:paraId="7E244446"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 xml:space="preserve">IN056 </w:t>
            </w:r>
          </w:p>
        </w:tc>
      </w:tr>
      <w:tr w:rsidR="00AD258A" w:rsidRPr="00AD258A" w14:paraId="1D73C9C8" w14:textId="77777777" w:rsidTr="00EA348F">
        <w:trPr>
          <w:trHeight w:val="1944"/>
          <w:jc w:val="center"/>
        </w:trPr>
        <w:tc>
          <w:tcPr>
            <w:tcW w:w="1240" w:type="dxa"/>
            <w:vMerge/>
            <w:tcBorders>
              <w:top w:val="single" w:sz="8" w:space="0" w:color="A9D08E"/>
              <w:left w:val="nil"/>
              <w:bottom w:val="single" w:sz="8" w:space="0" w:color="A9D08E"/>
              <w:right w:val="nil"/>
            </w:tcBorders>
            <w:vAlign w:val="center"/>
            <w:hideMark/>
          </w:tcPr>
          <w:p w14:paraId="798A60CF" w14:textId="77777777" w:rsidR="00AD258A" w:rsidRPr="00EA348F" w:rsidRDefault="00AD258A" w:rsidP="00AD258A">
            <w:pPr>
              <w:spacing w:before="0" w:beforeAutospacing="0" w:after="0" w:afterAutospacing="0" w:line="240" w:lineRule="auto"/>
              <w:ind w:firstLine="0"/>
              <w:jc w:val="left"/>
              <w:rPr>
                <w:b/>
                <w:bCs/>
                <w:color w:val="FFFFFF"/>
                <w:sz w:val="22"/>
                <w:lang w:eastAsia="es-CO"/>
              </w:rPr>
            </w:pPr>
          </w:p>
        </w:tc>
        <w:tc>
          <w:tcPr>
            <w:tcW w:w="1240" w:type="dxa"/>
            <w:tcBorders>
              <w:top w:val="nil"/>
              <w:left w:val="nil"/>
              <w:bottom w:val="single" w:sz="8" w:space="0" w:color="A9D08E"/>
              <w:right w:val="nil"/>
            </w:tcBorders>
            <w:shd w:val="clear" w:color="000000" w:fill="70AD47"/>
            <w:vAlign w:val="center"/>
            <w:hideMark/>
          </w:tcPr>
          <w:p w14:paraId="4CB0D824"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EA348F">
              <w:rPr>
                <w:b/>
                <w:bCs/>
                <w:color w:val="FFFFFF"/>
                <w:sz w:val="22"/>
                <w:lang w:eastAsia="es-CO"/>
              </w:rPr>
              <w:t>Coleta de esgoto</w:t>
            </w:r>
          </w:p>
        </w:tc>
        <w:tc>
          <w:tcPr>
            <w:tcW w:w="1660" w:type="dxa"/>
            <w:tcBorders>
              <w:top w:val="nil"/>
              <w:left w:val="nil"/>
              <w:bottom w:val="single" w:sz="8" w:space="0" w:color="A9D08E"/>
              <w:right w:val="nil"/>
            </w:tcBorders>
            <w:shd w:val="clear" w:color="000000" w:fill="70AD47"/>
            <w:vAlign w:val="center"/>
            <w:hideMark/>
          </w:tcPr>
          <w:p w14:paraId="3760A922"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EA348F">
              <w:rPr>
                <w:b/>
                <w:bCs/>
                <w:color w:val="FFFFFF"/>
                <w:sz w:val="22"/>
                <w:lang w:eastAsia="es-CO"/>
              </w:rPr>
              <w:t>Esgoto tratado referido à água consumida</w:t>
            </w:r>
          </w:p>
        </w:tc>
        <w:tc>
          <w:tcPr>
            <w:tcW w:w="1363" w:type="dxa"/>
            <w:tcBorders>
              <w:top w:val="nil"/>
              <w:left w:val="nil"/>
              <w:bottom w:val="single" w:sz="8" w:space="0" w:color="A9D08E"/>
              <w:right w:val="nil"/>
            </w:tcBorders>
            <w:shd w:val="clear" w:color="000000" w:fill="70AD47"/>
            <w:vAlign w:val="center"/>
            <w:hideMark/>
          </w:tcPr>
          <w:p w14:paraId="12453ED8"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EA348F">
              <w:rPr>
                <w:b/>
                <w:bCs/>
                <w:color w:val="FFFFFF"/>
                <w:sz w:val="22"/>
                <w:lang w:eastAsia="es-CO"/>
              </w:rPr>
              <w:t>Atendimento urbano de água</w:t>
            </w:r>
          </w:p>
        </w:tc>
        <w:tc>
          <w:tcPr>
            <w:tcW w:w="1363" w:type="dxa"/>
            <w:tcBorders>
              <w:top w:val="nil"/>
              <w:left w:val="nil"/>
              <w:bottom w:val="single" w:sz="8" w:space="0" w:color="A9D08E"/>
              <w:right w:val="nil"/>
            </w:tcBorders>
            <w:shd w:val="clear" w:color="000000" w:fill="70AD47"/>
            <w:vAlign w:val="center"/>
            <w:hideMark/>
          </w:tcPr>
          <w:p w14:paraId="05888E82"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Atendimento total de água</w:t>
            </w:r>
          </w:p>
        </w:tc>
        <w:tc>
          <w:tcPr>
            <w:tcW w:w="1420" w:type="dxa"/>
            <w:tcBorders>
              <w:top w:val="nil"/>
              <w:left w:val="nil"/>
              <w:bottom w:val="single" w:sz="8" w:space="0" w:color="A9D08E"/>
              <w:right w:val="nil"/>
            </w:tcBorders>
            <w:shd w:val="clear" w:color="000000" w:fill="70AD47"/>
            <w:vAlign w:val="center"/>
            <w:hideMark/>
          </w:tcPr>
          <w:p w14:paraId="62CFC0E1"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Atendimento urbano de esgoto referido aos municípios atendidos com água</w:t>
            </w:r>
          </w:p>
        </w:tc>
        <w:tc>
          <w:tcPr>
            <w:tcW w:w="1660" w:type="dxa"/>
            <w:tcBorders>
              <w:top w:val="nil"/>
              <w:left w:val="nil"/>
              <w:bottom w:val="single" w:sz="8" w:space="0" w:color="A9D08E"/>
              <w:right w:val="nil"/>
            </w:tcBorders>
            <w:shd w:val="clear" w:color="000000" w:fill="70AD47"/>
            <w:vAlign w:val="center"/>
            <w:hideMark/>
          </w:tcPr>
          <w:p w14:paraId="572765A8" w14:textId="77777777" w:rsidR="00AD258A" w:rsidRPr="00EA348F" w:rsidRDefault="00AD258A" w:rsidP="00AD258A">
            <w:pPr>
              <w:spacing w:before="0" w:beforeAutospacing="0" w:after="0" w:afterAutospacing="0" w:line="240" w:lineRule="auto"/>
              <w:ind w:firstLine="0"/>
              <w:jc w:val="center"/>
              <w:rPr>
                <w:b/>
                <w:bCs/>
                <w:color w:val="FFFFFF"/>
                <w:sz w:val="22"/>
                <w:lang w:eastAsia="es-CO"/>
              </w:rPr>
            </w:pPr>
            <w:r w:rsidRPr="00EA348F">
              <w:rPr>
                <w:b/>
                <w:bCs/>
                <w:color w:val="FFFFFF"/>
                <w:sz w:val="22"/>
                <w:lang w:eastAsia="es-CO"/>
              </w:rPr>
              <w:t>Atendimento total de esgoto referido aos municípios atendidos com água</w:t>
            </w:r>
          </w:p>
        </w:tc>
      </w:tr>
      <w:tr w:rsidR="00AD258A" w:rsidRPr="00AD258A" w14:paraId="4337195A"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7E10B8C5"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Agespisa</w:t>
            </w:r>
          </w:p>
        </w:tc>
        <w:tc>
          <w:tcPr>
            <w:tcW w:w="1240" w:type="dxa"/>
            <w:tcBorders>
              <w:top w:val="nil"/>
              <w:left w:val="nil"/>
              <w:bottom w:val="single" w:sz="8" w:space="0" w:color="A9D08E"/>
              <w:right w:val="nil"/>
            </w:tcBorders>
            <w:shd w:val="clear" w:color="000000" w:fill="FF0000"/>
            <w:noWrap/>
            <w:vAlign w:val="center"/>
            <w:hideMark/>
          </w:tcPr>
          <w:p w14:paraId="628D69D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9,62%</w:t>
            </w:r>
          </w:p>
        </w:tc>
        <w:tc>
          <w:tcPr>
            <w:tcW w:w="1660" w:type="dxa"/>
            <w:tcBorders>
              <w:top w:val="nil"/>
              <w:left w:val="nil"/>
              <w:bottom w:val="single" w:sz="8" w:space="0" w:color="A9D08E"/>
              <w:right w:val="nil"/>
            </w:tcBorders>
            <w:shd w:val="clear" w:color="000000" w:fill="FF0000"/>
            <w:noWrap/>
            <w:vAlign w:val="center"/>
            <w:hideMark/>
          </w:tcPr>
          <w:p w14:paraId="6621EB6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9,61%</w:t>
            </w:r>
          </w:p>
        </w:tc>
        <w:tc>
          <w:tcPr>
            <w:tcW w:w="1363" w:type="dxa"/>
            <w:tcBorders>
              <w:top w:val="nil"/>
              <w:left w:val="nil"/>
              <w:bottom w:val="single" w:sz="8" w:space="0" w:color="A9D08E"/>
              <w:right w:val="nil"/>
            </w:tcBorders>
            <w:shd w:val="clear" w:color="000000" w:fill="92D050"/>
            <w:noWrap/>
            <w:vAlign w:val="center"/>
            <w:hideMark/>
          </w:tcPr>
          <w:p w14:paraId="3E5135F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96,18%</w:t>
            </w:r>
          </w:p>
        </w:tc>
        <w:tc>
          <w:tcPr>
            <w:tcW w:w="1363" w:type="dxa"/>
            <w:tcBorders>
              <w:top w:val="nil"/>
              <w:left w:val="nil"/>
              <w:bottom w:val="single" w:sz="8" w:space="0" w:color="A9D08E"/>
              <w:right w:val="nil"/>
            </w:tcBorders>
            <w:shd w:val="clear" w:color="000000" w:fill="FF0000"/>
            <w:noWrap/>
            <w:vAlign w:val="center"/>
            <w:hideMark/>
          </w:tcPr>
          <w:p w14:paraId="4C8F691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76,18%</w:t>
            </w:r>
          </w:p>
        </w:tc>
        <w:tc>
          <w:tcPr>
            <w:tcW w:w="1420" w:type="dxa"/>
            <w:tcBorders>
              <w:top w:val="nil"/>
              <w:left w:val="nil"/>
              <w:bottom w:val="single" w:sz="8" w:space="0" w:color="A9D08E"/>
              <w:right w:val="nil"/>
            </w:tcBorders>
            <w:shd w:val="clear" w:color="000000" w:fill="FF0000"/>
            <w:noWrap/>
            <w:vAlign w:val="center"/>
            <w:hideMark/>
          </w:tcPr>
          <w:p w14:paraId="34BF91F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12,40%</w:t>
            </w:r>
          </w:p>
        </w:tc>
        <w:tc>
          <w:tcPr>
            <w:tcW w:w="1660" w:type="dxa"/>
            <w:tcBorders>
              <w:top w:val="nil"/>
              <w:left w:val="nil"/>
              <w:bottom w:val="single" w:sz="8" w:space="0" w:color="A9D08E"/>
              <w:right w:val="nil"/>
            </w:tcBorders>
            <w:shd w:val="clear" w:color="000000" w:fill="FF0000"/>
            <w:noWrap/>
            <w:vAlign w:val="center"/>
            <w:hideMark/>
          </w:tcPr>
          <w:p w14:paraId="344E845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8,61%</w:t>
            </w:r>
          </w:p>
        </w:tc>
      </w:tr>
      <w:tr w:rsidR="00AD258A" w:rsidRPr="00AD258A" w14:paraId="5B03F1D4"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33D46A30"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Caema</w:t>
            </w:r>
          </w:p>
        </w:tc>
        <w:tc>
          <w:tcPr>
            <w:tcW w:w="1240" w:type="dxa"/>
            <w:tcBorders>
              <w:top w:val="nil"/>
              <w:left w:val="nil"/>
              <w:bottom w:val="single" w:sz="8" w:space="0" w:color="A9D08E"/>
              <w:right w:val="nil"/>
            </w:tcBorders>
            <w:shd w:val="clear" w:color="000000" w:fill="FFFF00"/>
            <w:noWrap/>
            <w:vAlign w:val="center"/>
            <w:hideMark/>
          </w:tcPr>
          <w:p w14:paraId="76FA7AC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32,63%</w:t>
            </w:r>
          </w:p>
        </w:tc>
        <w:tc>
          <w:tcPr>
            <w:tcW w:w="1660" w:type="dxa"/>
            <w:tcBorders>
              <w:top w:val="nil"/>
              <w:left w:val="nil"/>
              <w:bottom w:val="single" w:sz="8" w:space="0" w:color="A9D08E"/>
              <w:right w:val="nil"/>
            </w:tcBorders>
            <w:shd w:val="clear" w:color="000000" w:fill="FF0000"/>
            <w:noWrap/>
            <w:vAlign w:val="center"/>
            <w:hideMark/>
          </w:tcPr>
          <w:p w14:paraId="0244AE6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12,04%</w:t>
            </w:r>
          </w:p>
        </w:tc>
        <w:tc>
          <w:tcPr>
            <w:tcW w:w="1363" w:type="dxa"/>
            <w:tcBorders>
              <w:top w:val="nil"/>
              <w:left w:val="nil"/>
              <w:bottom w:val="single" w:sz="8" w:space="0" w:color="A9D08E"/>
              <w:right w:val="nil"/>
            </w:tcBorders>
            <w:shd w:val="clear" w:color="000000" w:fill="FF0000"/>
            <w:noWrap/>
            <w:vAlign w:val="center"/>
            <w:hideMark/>
          </w:tcPr>
          <w:p w14:paraId="1FE3B9B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72,86%</w:t>
            </w:r>
          </w:p>
        </w:tc>
        <w:tc>
          <w:tcPr>
            <w:tcW w:w="1363" w:type="dxa"/>
            <w:tcBorders>
              <w:top w:val="nil"/>
              <w:left w:val="nil"/>
              <w:bottom w:val="single" w:sz="8" w:space="0" w:color="A9D08E"/>
              <w:right w:val="nil"/>
            </w:tcBorders>
            <w:shd w:val="clear" w:color="000000" w:fill="FF0000"/>
            <w:noWrap/>
            <w:vAlign w:val="center"/>
            <w:hideMark/>
          </w:tcPr>
          <w:p w14:paraId="7E57F3C6"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49,35%</w:t>
            </w:r>
          </w:p>
        </w:tc>
        <w:tc>
          <w:tcPr>
            <w:tcW w:w="1420" w:type="dxa"/>
            <w:tcBorders>
              <w:top w:val="nil"/>
              <w:left w:val="nil"/>
              <w:bottom w:val="single" w:sz="8" w:space="0" w:color="A9D08E"/>
              <w:right w:val="nil"/>
            </w:tcBorders>
            <w:shd w:val="clear" w:color="000000" w:fill="FF0000"/>
            <w:noWrap/>
            <w:vAlign w:val="center"/>
            <w:hideMark/>
          </w:tcPr>
          <w:p w14:paraId="0F2FEB6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18,57%</w:t>
            </w:r>
          </w:p>
        </w:tc>
        <w:tc>
          <w:tcPr>
            <w:tcW w:w="1660" w:type="dxa"/>
            <w:tcBorders>
              <w:top w:val="nil"/>
              <w:left w:val="nil"/>
              <w:bottom w:val="single" w:sz="8" w:space="0" w:color="A9D08E"/>
              <w:right w:val="nil"/>
            </w:tcBorders>
            <w:shd w:val="clear" w:color="000000" w:fill="FF0000"/>
            <w:noWrap/>
            <w:vAlign w:val="center"/>
            <w:hideMark/>
          </w:tcPr>
          <w:p w14:paraId="3C671E5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12,19%</w:t>
            </w:r>
          </w:p>
        </w:tc>
      </w:tr>
      <w:tr w:rsidR="00AD258A" w:rsidRPr="00AD258A" w14:paraId="01C6615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41614661"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Caer</w:t>
            </w:r>
          </w:p>
        </w:tc>
        <w:tc>
          <w:tcPr>
            <w:tcW w:w="1240" w:type="dxa"/>
            <w:tcBorders>
              <w:top w:val="nil"/>
              <w:left w:val="nil"/>
              <w:bottom w:val="single" w:sz="8" w:space="0" w:color="A9D08E"/>
              <w:right w:val="nil"/>
            </w:tcBorders>
            <w:shd w:val="clear" w:color="000000" w:fill="92D050"/>
            <w:noWrap/>
            <w:vAlign w:val="center"/>
            <w:hideMark/>
          </w:tcPr>
          <w:p w14:paraId="4BD5D47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57,75%</w:t>
            </w:r>
          </w:p>
        </w:tc>
        <w:tc>
          <w:tcPr>
            <w:tcW w:w="1660" w:type="dxa"/>
            <w:tcBorders>
              <w:top w:val="nil"/>
              <w:left w:val="nil"/>
              <w:bottom w:val="single" w:sz="8" w:space="0" w:color="A9D08E"/>
              <w:right w:val="nil"/>
            </w:tcBorders>
            <w:shd w:val="clear" w:color="000000" w:fill="92D050"/>
            <w:noWrap/>
            <w:vAlign w:val="center"/>
            <w:hideMark/>
          </w:tcPr>
          <w:p w14:paraId="6544181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57,15%</w:t>
            </w:r>
          </w:p>
        </w:tc>
        <w:tc>
          <w:tcPr>
            <w:tcW w:w="1363" w:type="dxa"/>
            <w:tcBorders>
              <w:top w:val="nil"/>
              <w:left w:val="nil"/>
              <w:bottom w:val="single" w:sz="8" w:space="0" w:color="A9D08E"/>
              <w:right w:val="nil"/>
            </w:tcBorders>
            <w:shd w:val="clear" w:color="000000" w:fill="92D050"/>
            <w:noWrap/>
            <w:vAlign w:val="center"/>
            <w:hideMark/>
          </w:tcPr>
          <w:p w14:paraId="005E16A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98,92%</w:t>
            </w:r>
          </w:p>
        </w:tc>
        <w:tc>
          <w:tcPr>
            <w:tcW w:w="1363" w:type="dxa"/>
            <w:tcBorders>
              <w:top w:val="nil"/>
              <w:left w:val="nil"/>
              <w:bottom w:val="single" w:sz="8" w:space="0" w:color="A9D08E"/>
              <w:right w:val="nil"/>
            </w:tcBorders>
            <w:shd w:val="clear" w:color="000000" w:fill="FFFF00"/>
            <w:noWrap/>
            <w:vAlign w:val="center"/>
            <w:hideMark/>
          </w:tcPr>
          <w:p w14:paraId="34980A1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80,01%</w:t>
            </w:r>
          </w:p>
        </w:tc>
        <w:tc>
          <w:tcPr>
            <w:tcW w:w="1420" w:type="dxa"/>
            <w:tcBorders>
              <w:top w:val="nil"/>
              <w:left w:val="nil"/>
              <w:bottom w:val="single" w:sz="8" w:space="0" w:color="A9D08E"/>
              <w:right w:val="nil"/>
            </w:tcBorders>
            <w:shd w:val="clear" w:color="000000" w:fill="92D050"/>
            <w:noWrap/>
            <w:vAlign w:val="center"/>
            <w:hideMark/>
          </w:tcPr>
          <w:p w14:paraId="47C8E7A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46,86%</w:t>
            </w:r>
          </w:p>
        </w:tc>
        <w:tc>
          <w:tcPr>
            <w:tcW w:w="1660" w:type="dxa"/>
            <w:tcBorders>
              <w:top w:val="nil"/>
              <w:left w:val="nil"/>
              <w:bottom w:val="single" w:sz="8" w:space="0" w:color="A9D08E"/>
              <w:right w:val="nil"/>
            </w:tcBorders>
            <w:shd w:val="clear" w:color="000000" w:fill="92D050"/>
            <w:noWrap/>
            <w:vAlign w:val="center"/>
            <w:hideMark/>
          </w:tcPr>
          <w:p w14:paraId="016B05B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35,94%</w:t>
            </w:r>
          </w:p>
        </w:tc>
      </w:tr>
      <w:tr w:rsidR="00AD258A" w:rsidRPr="00AD258A" w14:paraId="5F038B8E"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32905099"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Caerd</w:t>
            </w:r>
          </w:p>
        </w:tc>
        <w:tc>
          <w:tcPr>
            <w:tcW w:w="1240" w:type="dxa"/>
            <w:tcBorders>
              <w:top w:val="nil"/>
              <w:left w:val="nil"/>
              <w:bottom w:val="single" w:sz="8" w:space="0" w:color="A9D08E"/>
              <w:right w:val="nil"/>
            </w:tcBorders>
            <w:shd w:val="clear" w:color="000000" w:fill="FF0000"/>
            <w:noWrap/>
            <w:vAlign w:val="center"/>
            <w:hideMark/>
          </w:tcPr>
          <w:p w14:paraId="6570B95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3,34%</w:t>
            </w:r>
          </w:p>
        </w:tc>
        <w:tc>
          <w:tcPr>
            <w:tcW w:w="1660" w:type="dxa"/>
            <w:tcBorders>
              <w:top w:val="nil"/>
              <w:left w:val="nil"/>
              <w:bottom w:val="single" w:sz="8" w:space="0" w:color="A9D08E"/>
              <w:right w:val="nil"/>
            </w:tcBorders>
            <w:shd w:val="clear" w:color="000000" w:fill="FF0000"/>
            <w:noWrap/>
            <w:vAlign w:val="center"/>
            <w:hideMark/>
          </w:tcPr>
          <w:p w14:paraId="3082E8D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0,00%</w:t>
            </w:r>
          </w:p>
        </w:tc>
        <w:tc>
          <w:tcPr>
            <w:tcW w:w="1363" w:type="dxa"/>
            <w:tcBorders>
              <w:top w:val="nil"/>
              <w:left w:val="nil"/>
              <w:bottom w:val="single" w:sz="8" w:space="0" w:color="A9D08E"/>
              <w:right w:val="nil"/>
            </w:tcBorders>
            <w:shd w:val="clear" w:color="000000" w:fill="FF0000"/>
            <w:noWrap/>
            <w:vAlign w:val="center"/>
            <w:hideMark/>
          </w:tcPr>
          <w:p w14:paraId="292AE13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51,10%</w:t>
            </w:r>
          </w:p>
        </w:tc>
        <w:tc>
          <w:tcPr>
            <w:tcW w:w="1363" w:type="dxa"/>
            <w:tcBorders>
              <w:top w:val="nil"/>
              <w:left w:val="nil"/>
              <w:bottom w:val="single" w:sz="8" w:space="0" w:color="A9D08E"/>
              <w:right w:val="nil"/>
            </w:tcBorders>
            <w:shd w:val="clear" w:color="000000" w:fill="FF0000"/>
            <w:noWrap/>
            <w:vAlign w:val="center"/>
            <w:hideMark/>
          </w:tcPr>
          <w:p w14:paraId="6D0F9AE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38,68%</w:t>
            </w:r>
          </w:p>
        </w:tc>
        <w:tc>
          <w:tcPr>
            <w:tcW w:w="1420" w:type="dxa"/>
            <w:tcBorders>
              <w:top w:val="nil"/>
              <w:left w:val="nil"/>
              <w:bottom w:val="single" w:sz="8" w:space="0" w:color="A9D08E"/>
              <w:right w:val="nil"/>
            </w:tcBorders>
            <w:shd w:val="clear" w:color="000000" w:fill="FF0000"/>
            <w:noWrap/>
            <w:vAlign w:val="center"/>
            <w:hideMark/>
          </w:tcPr>
          <w:p w14:paraId="0AB77807"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1,95%</w:t>
            </w:r>
          </w:p>
        </w:tc>
        <w:tc>
          <w:tcPr>
            <w:tcW w:w="1660" w:type="dxa"/>
            <w:tcBorders>
              <w:top w:val="nil"/>
              <w:left w:val="nil"/>
              <w:bottom w:val="single" w:sz="8" w:space="0" w:color="A9D08E"/>
              <w:right w:val="nil"/>
            </w:tcBorders>
            <w:shd w:val="clear" w:color="000000" w:fill="FF0000"/>
            <w:noWrap/>
            <w:vAlign w:val="center"/>
            <w:hideMark/>
          </w:tcPr>
          <w:p w14:paraId="3B8456D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1,47%</w:t>
            </w:r>
          </w:p>
        </w:tc>
      </w:tr>
      <w:tr w:rsidR="00AD258A" w:rsidRPr="00AD258A" w14:paraId="03DB56E2"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260DBB8D"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Caern</w:t>
            </w:r>
          </w:p>
        </w:tc>
        <w:tc>
          <w:tcPr>
            <w:tcW w:w="1240" w:type="dxa"/>
            <w:tcBorders>
              <w:top w:val="nil"/>
              <w:left w:val="nil"/>
              <w:bottom w:val="single" w:sz="8" w:space="0" w:color="A9D08E"/>
              <w:right w:val="nil"/>
            </w:tcBorders>
            <w:shd w:val="clear" w:color="000000" w:fill="FFFF00"/>
            <w:noWrap/>
            <w:vAlign w:val="center"/>
            <w:hideMark/>
          </w:tcPr>
          <w:p w14:paraId="77E0D87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24,78%</w:t>
            </w:r>
          </w:p>
        </w:tc>
        <w:tc>
          <w:tcPr>
            <w:tcW w:w="1660" w:type="dxa"/>
            <w:tcBorders>
              <w:top w:val="nil"/>
              <w:left w:val="nil"/>
              <w:bottom w:val="single" w:sz="8" w:space="0" w:color="A9D08E"/>
              <w:right w:val="nil"/>
            </w:tcBorders>
            <w:shd w:val="clear" w:color="000000" w:fill="FFFF00"/>
            <w:noWrap/>
            <w:vAlign w:val="center"/>
            <w:hideMark/>
          </w:tcPr>
          <w:p w14:paraId="07DCB7E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20,86%</w:t>
            </w:r>
          </w:p>
        </w:tc>
        <w:tc>
          <w:tcPr>
            <w:tcW w:w="1363" w:type="dxa"/>
            <w:tcBorders>
              <w:top w:val="nil"/>
              <w:left w:val="nil"/>
              <w:bottom w:val="single" w:sz="8" w:space="0" w:color="A9D08E"/>
              <w:right w:val="nil"/>
            </w:tcBorders>
            <w:shd w:val="clear" w:color="000000" w:fill="FFFF00"/>
            <w:noWrap/>
            <w:vAlign w:val="center"/>
            <w:hideMark/>
          </w:tcPr>
          <w:p w14:paraId="3986EF3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95,77%</w:t>
            </w:r>
          </w:p>
        </w:tc>
        <w:tc>
          <w:tcPr>
            <w:tcW w:w="1363" w:type="dxa"/>
            <w:tcBorders>
              <w:top w:val="nil"/>
              <w:left w:val="nil"/>
              <w:bottom w:val="single" w:sz="8" w:space="0" w:color="A9D08E"/>
              <w:right w:val="nil"/>
            </w:tcBorders>
            <w:shd w:val="clear" w:color="000000" w:fill="FFFF00"/>
            <w:noWrap/>
            <w:vAlign w:val="center"/>
            <w:hideMark/>
          </w:tcPr>
          <w:p w14:paraId="08938E2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78,12%</w:t>
            </w:r>
          </w:p>
        </w:tc>
        <w:tc>
          <w:tcPr>
            <w:tcW w:w="1420" w:type="dxa"/>
            <w:tcBorders>
              <w:top w:val="nil"/>
              <w:left w:val="nil"/>
              <w:bottom w:val="single" w:sz="8" w:space="0" w:color="A9D08E"/>
              <w:right w:val="nil"/>
            </w:tcBorders>
            <w:shd w:val="clear" w:color="000000" w:fill="FFFF00"/>
            <w:noWrap/>
            <w:vAlign w:val="center"/>
            <w:hideMark/>
          </w:tcPr>
          <w:p w14:paraId="1FC08BF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26,35%</w:t>
            </w:r>
          </w:p>
        </w:tc>
        <w:tc>
          <w:tcPr>
            <w:tcW w:w="1660" w:type="dxa"/>
            <w:tcBorders>
              <w:top w:val="nil"/>
              <w:left w:val="nil"/>
              <w:bottom w:val="single" w:sz="8" w:space="0" w:color="A9D08E"/>
              <w:right w:val="nil"/>
            </w:tcBorders>
            <w:shd w:val="clear" w:color="000000" w:fill="FFFF00"/>
            <w:noWrap/>
            <w:vAlign w:val="center"/>
            <w:hideMark/>
          </w:tcPr>
          <w:p w14:paraId="38C54B0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20,78%</w:t>
            </w:r>
          </w:p>
        </w:tc>
      </w:tr>
      <w:tr w:rsidR="00AD258A" w:rsidRPr="00AD258A" w14:paraId="3003EC1D"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10A0D6B3"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Caesa</w:t>
            </w:r>
          </w:p>
        </w:tc>
        <w:tc>
          <w:tcPr>
            <w:tcW w:w="1240" w:type="dxa"/>
            <w:tcBorders>
              <w:top w:val="nil"/>
              <w:left w:val="nil"/>
              <w:bottom w:val="single" w:sz="8" w:space="0" w:color="A9D08E"/>
              <w:right w:val="nil"/>
            </w:tcBorders>
            <w:shd w:val="clear" w:color="000000" w:fill="FF0000"/>
            <w:noWrap/>
            <w:vAlign w:val="center"/>
            <w:hideMark/>
          </w:tcPr>
          <w:p w14:paraId="0559462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14,14%</w:t>
            </w:r>
          </w:p>
        </w:tc>
        <w:tc>
          <w:tcPr>
            <w:tcW w:w="1660" w:type="dxa"/>
            <w:tcBorders>
              <w:top w:val="nil"/>
              <w:left w:val="nil"/>
              <w:bottom w:val="single" w:sz="8" w:space="0" w:color="A9D08E"/>
              <w:right w:val="nil"/>
            </w:tcBorders>
            <w:shd w:val="clear" w:color="000000" w:fill="FF0000"/>
            <w:noWrap/>
            <w:vAlign w:val="center"/>
            <w:hideMark/>
          </w:tcPr>
          <w:p w14:paraId="4CE517B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13,21%</w:t>
            </w:r>
          </w:p>
        </w:tc>
        <w:tc>
          <w:tcPr>
            <w:tcW w:w="1363" w:type="dxa"/>
            <w:tcBorders>
              <w:top w:val="nil"/>
              <w:left w:val="nil"/>
              <w:bottom w:val="single" w:sz="8" w:space="0" w:color="A9D08E"/>
              <w:right w:val="nil"/>
            </w:tcBorders>
            <w:shd w:val="clear" w:color="000000" w:fill="FF0000"/>
            <w:noWrap/>
            <w:vAlign w:val="center"/>
            <w:hideMark/>
          </w:tcPr>
          <w:p w14:paraId="0BCAACC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37,17%</w:t>
            </w:r>
          </w:p>
        </w:tc>
        <w:tc>
          <w:tcPr>
            <w:tcW w:w="1363" w:type="dxa"/>
            <w:tcBorders>
              <w:top w:val="nil"/>
              <w:left w:val="nil"/>
              <w:bottom w:val="single" w:sz="8" w:space="0" w:color="A9D08E"/>
              <w:right w:val="nil"/>
            </w:tcBorders>
            <w:shd w:val="clear" w:color="000000" w:fill="FF0000"/>
            <w:noWrap/>
            <w:vAlign w:val="center"/>
            <w:hideMark/>
          </w:tcPr>
          <w:p w14:paraId="79523E9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34,01%</w:t>
            </w:r>
          </w:p>
        </w:tc>
        <w:tc>
          <w:tcPr>
            <w:tcW w:w="1420" w:type="dxa"/>
            <w:tcBorders>
              <w:top w:val="nil"/>
              <w:left w:val="nil"/>
              <w:bottom w:val="single" w:sz="8" w:space="0" w:color="A9D08E"/>
              <w:right w:val="nil"/>
            </w:tcBorders>
            <w:shd w:val="clear" w:color="000000" w:fill="FF0000"/>
            <w:noWrap/>
            <w:vAlign w:val="center"/>
            <w:hideMark/>
          </w:tcPr>
          <w:p w14:paraId="6337A52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4,23%</w:t>
            </w:r>
          </w:p>
        </w:tc>
        <w:tc>
          <w:tcPr>
            <w:tcW w:w="1660" w:type="dxa"/>
            <w:tcBorders>
              <w:top w:val="nil"/>
              <w:left w:val="nil"/>
              <w:bottom w:val="single" w:sz="8" w:space="0" w:color="A9D08E"/>
              <w:right w:val="nil"/>
            </w:tcBorders>
            <w:shd w:val="clear" w:color="000000" w:fill="FF0000"/>
            <w:noWrap/>
            <w:vAlign w:val="center"/>
            <w:hideMark/>
          </w:tcPr>
          <w:p w14:paraId="68C6DC7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3,79%</w:t>
            </w:r>
          </w:p>
        </w:tc>
      </w:tr>
      <w:tr w:rsidR="00AD258A" w:rsidRPr="00AD258A" w14:paraId="63B578D0"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2185E130"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Caesb</w:t>
            </w:r>
          </w:p>
        </w:tc>
        <w:tc>
          <w:tcPr>
            <w:tcW w:w="1240" w:type="dxa"/>
            <w:tcBorders>
              <w:top w:val="nil"/>
              <w:left w:val="nil"/>
              <w:bottom w:val="single" w:sz="8" w:space="0" w:color="A9D08E"/>
              <w:right w:val="nil"/>
            </w:tcBorders>
            <w:shd w:val="clear" w:color="000000" w:fill="92D050"/>
            <w:noWrap/>
            <w:vAlign w:val="center"/>
            <w:hideMark/>
          </w:tcPr>
          <w:p w14:paraId="281CC14F"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82,17%</w:t>
            </w:r>
          </w:p>
        </w:tc>
        <w:tc>
          <w:tcPr>
            <w:tcW w:w="1660" w:type="dxa"/>
            <w:tcBorders>
              <w:top w:val="nil"/>
              <w:left w:val="nil"/>
              <w:bottom w:val="single" w:sz="8" w:space="0" w:color="A9D08E"/>
              <w:right w:val="nil"/>
            </w:tcBorders>
            <w:shd w:val="clear" w:color="000000" w:fill="92D050"/>
            <w:noWrap/>
            <w:vAlign w:val="center"/>
            <w:hideMark/>
          </w:tcPr>
          <w:p w14:paraId="7230C97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82,17%</w:t>
            </w:r>
          </w:p>
        </w:tc>
        <w:tc>
          <w:tcPr>
            <w:tcW w:w="1363" w:type="dxa"/>
            <w:tcBorders>
              <w:top w:val="nil"/>
              <w:left w:val="nil"/>
              <w:bottom w:val="single" w:sz="8" w:space="0" w:color="A9D08E"/>
              <w:right w:val="nil"/>
            </w:tcBorders>
            <w:shd w:val="clear" w:color="000000" w:fill="92D050"/>
            <w:noWrap/>
            <w:vAlign w:val="center"/>
            <w:hideMark/>
          </w:tcPr>
          <w:p w14:paraId="54AEBFC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98,98%</w:t>
            </w:r>
          </w:p>
        </w:tc>
        <w:tc>
          <w:tcPr>
            <w:tcW w:w="1363" w:type="dxa"/>
            <w:tcBorders>
              <w:top w:val="nil"/>
              <w:left w:val="nil"/>
              <w:bottom w:val="single" w:sz="8" w:space="0" w:color="A9D08E"/>
              <w:right w:val="nil"/>
            </w:tcBorders>
            <w:shd w:val="clear" w:color="000000" w:fill="92D050"/>
            <w:noWrap/>
            <w:vAlign w:val="center"/>
            <w:hideMark/>
          </w:tcPr>
          <w:p w14:paraId="4F007A2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98,98%</w:t>
            </w:r>
          </w:p>
        </w:tc>
        <w:tc>
          <w:tcPr>
            <w:tcW w:w="1420" w:type="dxa"/>
            <w:tcBorders>
              <w:top w:val="nil"/>
              <w:left w:val="nil"/>
              <w:bottom w:val="single" w:sz="8" w:space="0" w:color="A9D08E"/>
              <w:right w:val="nil"/>
            </w:tcBorders>
            <w:shd w:val="clear" w:color="000000" w:fill="92D050"/>
            <w:noWrap/>
            <w:vAlign w:val="center"/>
            <w:hideMark/>
          </w:tcPr>
          <w:p w14:paraId="605A245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84,51%</w:t>
            </w:r>
          </w:p>
        </w:tc>
        <w:tc>
          <w:tcPr>
            <w:tcW w:w="1660" w:type="dxa"/>
            <w:tcBorders>
              <w:top w:val="nil"/>
              <w:left w:val="nil"/>
              <w:bottom w:val="single" w:sz="8" w:space="0" w:color="A9D08E"/>
              <w:right w:val="nil"/>
            </w:tcBorders>
            <w:shd w:val="clear" w:color="000000" w:fill="92D050"/>
            <w:noWrap/>
            <w:vAlign w:val="center"/>
            <w:hideMark/>
          </w:tcPr>
          <w:p w14:paraId="7D31346F"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84,51%</w:t>
            </w:r>
          </w:p>
        </w:tc>
      </w:tr>
      <w:tr w:rsidR="00AD258A" w:rsidRPr="00AD258A" w14:paraId="0042C212"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43E8B262"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Cagece</w:t>
            </w:r>
          </w:p>
        </w:tc>
        <w:tc>
          <w:tcPr>
            <w:tcW w:w="1240" w:type="dxa"/>
            <w:tcBorders>
              <w:top w:val="nil"/>
              <w:left w:val="nil"/>
              <w:bottom w:val="single" w:sz="8" w:space="0" w:color="A9D08E"/>
              <w:right w:val="nil"/>
            </w:tcBorders>
            <w:shd w:val="clear" w:color="000000" w:fill="FFFF00"/>
            <w:noWrap/>
            <w:vAlign w:val="center"/>
            <w:hideMark/>
          </w:tcPr>
          <w:p w14:paraId="511025E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37,69%</w:t>
            </w:r>
          </w:p>
        </w:tc>
        <w:tc>
          <w:tcPr>
            <w:tcW w:w="1660" w:type="dxa"/>
            <w:tcBorders>
              <w:top w:val="nil"/>
              <w:left w:val="nil"/>
              <w:bottom w:val="single" w:sz="8" w:space="0" w:color="A9D08E"/>
              <w:right w:val="nil"/>
            </w:tcBorders>
            <w:shd w:val="clear" w:color="000000" w:fill="FFFF00"/>
            <w:noWrap/>
            <w:vAlign w:val="center"/>
            <w:hideMark/>
          </w:tcPr>
          <w:p w14:paraId="7389FF2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37,69%</w:t>
            </w:r>
          </w:p>
        </w:tc>
        <w:tc>
          <w:tcPr>
            <w:tcW w:w="1363" w:type="dxa"/>
            <w:tcBorders>
              <w:top w:val="nil"/>
              <w:left w:val="nil"/>
              <w:bottom w:val="single" w:sz="8" w:space="0" w:color="A9D08E"/>
              <w:right w:val="nil"/>
            </w:tcBorders>
            <w:shd w:val="clear" w:color="000000" w:fill="FF0000"/>
            <w:noWrap/>
            <w:vAlign w:val="center"/>
            <w:hideMark/>
          </w:tcPr>
          <w:p w14:paraId="100D7F6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76,47%</w:t>
            </w:r>
          </w:p>
        </w:tc>
        <w:tc>
          <w:tcPr>
            <w:tcW w:w="1363" w:type="dxa"/>
            <w:tcBorders>
              <w:top w:val="nil"/>
              <w:left w:val="nil"/>
              <w:bottom w:val="single" w:sz="8" w:space="0" w:color="A9D08E"/>
              <w:right w:val="nil"/>
            </w:tcBorders>
            <w:shd w:val="clear" w:color="000000" w:fill="FF0000"/>
            <w:noWrap/>
            <w:vAlign w:val="center"/>
            <w:hideMark/>
          </w:tcPr>
          <w:p w14:paraId="70DCD01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59,67%</w:t>
            </w:r>
          </w:p>
        </w:tc>
        <w:tc>
          <w:tcPr>
            <w:tcW w:w="1420" w:type="dxa"/>
            <w:tcBorders>
              <w:top w:val="nil"/>
              <w:left w:val="nil"/>
              <w:bottom w:val="single" w:sz="8" w:space="0" w:color="A9D08E"/>
              <w:right w:val="nil"/>
            </w:tcBorders>
            <w:shd w:val="clear" w:color="000000" w:fill="FFFF00"/>
            <w:noWrap/>
            <w:vAlign w:val="center"/>
            <w:hideMark/>
          </w:tcPr>
          <w:p w14:paraId="62287F2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29,88%</w:t>
            </w:r>
          </w:p>
        </w:tc>
        <w:tc>
          <w:tcPr>
            <w:tcW w:w="1660" w:type="dxa"/>
            <w:tcBorders>
              <w:top w:val="nil"/>
              <w:left w:val="nil"/>
              <w:bottom w:val="single" w:sz="8" w:space="0" w:color="A9D08E"/>
              <w:right w:val="nil"/>
            </w:tcBorders>
            <w:shd w:val="clear" w:color="000000" w:fill="FFFF00"/>
            <w:noWrap/>
            <w:vAlign w:val="center"/>
            <w:hideMark/>
          </w:tcPr>
          <w:p w14:paraId="46A342B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23,31%</w:t>
            </w:r>
          </w:p>
        </w:tc>
      </w:tr>
      <w:tr w:rsidR="00AD258A" w:rsidRPr="00AD258A" w14:paraId="18FBE410"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1C1BD561"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Cagepa</w:t>
            </w:r>
          </w:p>
        </w:tc>
        <w:tc>
          <w:tcPr>
            <w:tcW w:w="1240" w:type="dxa"/>
            <w:tcBorders>
              <w:top w:val="nil"/>
              <w:left w:val="nil"/>
              <w:bottom w:val="single" w:sz="8" w:space="0" w:color="A9D08E"/>
              <w:right w:val="nil"/>
            </w:tcBorders>
            <w:shd w:val="clear" w:color="000000" w:fill="92D050"/>
            <w:noWrap/>
            <w:vAlign w:val="center"/>
            <w:hideMark/>
          </w:tcPr>
          <w:p w14:paraId="72D59D7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53,20%</w:t>
            </w:r>
          </w:p>
        </w:tc>
        <w:tc>
          <w:tcPr>
            <w:tcW w:w="1660" w:type="dxa"/>
            <w:tcBorders>
              <w:top w:val="nil"/>
              <w:left w:val="nil"/>
              <w:bottom w:val="single" w:sz="8" w:space="0" w:color="A9D08E"/>
              <w:right w:val="nil"/>
            </w:tcBorders>
            <w:shd w:val="clear" w:color="000000" w:fill="92D050"/>
            <w:noWrap/>
            <w:vAlign w:val="center"/>
            <w:hideMark/>
          </w:tcPr>
          <w:p w14:paraId="0807B5E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47,44%</w:t>
            </w:r>
          </w:p>
        </w:tc>
        <w:tc>
          <w:tcPr>
            <w:tcW w:w="1363" w:type="dxa"/>
            <w:tcBorders>
              <w:top w:val="nil"/>
              <w:left w:val="nil"/>
              <w:bottom w:val="single" w:sz="8" w:space="0" w:color="A9D08E"/>
              <w:right w:val="nil"/>
            </w:tcBorders>
            <w:shd w:val="clear" w:color="000000" w:fill="FFFF00"/>
            <w:noWrap/>
            <w:vAlign w:val="center"/>
            <w:hideMark/>
          </w:tcPr>
          <w:p w14:paraId="2ADB262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92,12%</w:t>
            </w:r>
          </w:p>
        </w:tc>
        <w:tc>
          <w:tcPr>
            <w:tcW w:w="1363" w:type="dxa"/>
            <w:tcBorders>
              <w:top w:val="nil"/>
              <w:left w:val="nil"/>
              <w:bottom w:val="single" w:sz="8" w:space="0" w:color="A9D08E"/>
              <w:right w:val="nil"/>
            </w:tcBorders>
            <w:shd w:val="clear" w:color="000000" w:fill="FF0000"/>
            <w:noWrap/>
            <w:vAlign w:val="center"/>
            <w:hideMark/>
          </w:tcPr>
          <w:p w14:paraId="3452A27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74,68%</w:t>
            </w:r>
          </w:p>
        </w:tc>
        <w:tc>
          <w:tcPr>
            <w:tcW w:w="1420" w:type="dxa"/>
            <w:tcBorders>
              <w:top w:val="nil"/>
              <w:left w:val="nil"/>
              <w:bottom w:val="single" w:sz="8" w:space="0" w:color="A9D08E"/>
              <w:right w:val="nil"/>
            </w:tcBorders>
            <w:shd w:val="clear" w:color="000000" w:fill="FFFF00"/>
            <w:noWrap/>
            <w:vAlign w:val="center"/>
            <w:hideMark/>
          </w:tcPr>
          <w:p w14:paraId="612EBCD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38,53%</w:t>
            </w:r>
          </w:p>
        </w:tc>
        <w:tc>
          <w:tcPr>
            <w:tcW w:w="1660" w:type="dxa"/>
            <w:tcBorders>
              <w:top w:val="nil"/>
              <w:left w:val="nil"/>
              <w:bottom w:val="single" w:sz="8" w:space="0" w:color="A9D08E"/>
              <w:right w:val="nil"/>
            </w:tcBorders>
            <w:shd w:val="clear" w:color="000000" w:fill="FFFF00"/>
            <w:noWrap/>
            <w:vAlign w:val="center"/>
            <w:hideMark/>
          </w:tcPr>
          <w:p w14:paraId="590E69C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29,50%</w:t>
            </w:r>
          </w:p>
        </w:tc>
      </w:tr>
      <w:tr w:rsidR="00AD258A" w:rsidRPr="00AD258A" w14:paraId="2C28D27B"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1268F037"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Casal</w:t>
            </w:r>
          </w:p>
        </w:tc>
        <w:tc>
          <w:tcPr>
            <w:tcW w:w="1240" w:type="dxa"/>
            <w:tcBorders>
              <w:top w:val="nil"/>
              <w:left w:val="nil"/>
              <w:bottom w:val="single" w:sz="8" w:space="0" w:color="A9D08E"/>
              <w:right w:val="nil"/>
            </w:tcBorders>
            <w:shd w:val="clear" w:color="000000" w:fill="FF0000"/>
            <w:noWrap/>
            <w:vAlign w:val="center"/>
            <w:hideMark/>
          </w:tcPr>
          <w:p w14:paraId="5ED41C8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18,77%</w:t>
            </w:r>
          </w:p>
        </w:tc>
        <w:tc>
          <w:tcPr>
            <w:tcW w:w="1660" w:type="dxa"/>
            <w:tcBorders>
              <w:top w:val="nil"/>
              <w:left w:val="nil"/>
              <w:bottom w:val="single" w:sz="8" w:space="0" w:color="A9D08E"/>
              <w:right w:val="nil"/>
            </w:tcBorders>
            <w:shd w:val="clear" w:color="000000" w:fill="FF0000"/>
            <w:noWrap/>
            <w:vAlign w:val="center"/>
            <w:hideMark/>
          </w:tcPr>
          <w:p w14:paraId="0A569FB7"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17,96%</w:t>
            </w:r>
          </w:p>
        </w:tc>
        <w:tc>
          <w:tcPr>
            <w:tcW w:w="1363" w:type="dxa"/>
            <w:tcBorders>
              <w:top w:val="nil"/>
              <w:left w:val="nil"/>
              <w:bottom w:val="single" w:sz="8" w:space="0" w:color="A9D08E"/>
              <w:right w:val="nil"/>
            </w:tcBorders>
            <w:shd w:val="clear" w:color="000000" w:fill="FFFF00"/>
            <w:noWrap/>
            <w:vAlign w:val="center"/>
            <w:hideMark/>
          </w:tcPr>
          <w:p w14:paraId="3839E5F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90,38%</w:t>
            </w:r>
          </w:p>
        </w:tc>
        <w:tc>
          <w:tcPr>
            <w:tcW w:w="1363" w:type="dxa"/>
            <w:tcBorders>
              <w:top w:val="nil"/>
              <w:left w:val="nil"/>
              <w:bottom w:val="single" w:sz="8" w:space="0" w:color="A9D08E"/>
              <w:right w:val="nil"/>
            </w:tcBorders>
            <w:shd w:val="clear" w:color="000000" w:fill="FF0000"/>
            <w:noWrap/>
            <w:vAlign w:val="center"/>
            <w:hideMark/>
          </w:tcPr>
          <w:p w14:paraId="20379D8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73,23%</w:t>
            </w:r>
          </w:p>
        </w:tc>
        <w:tc>
          <w:tcPr>
            <w:tcW w:w="1420" w:type="dxa"/>
            <w:tcBorders>
              <w:top w:val="nil"/>
              <w:left w:val="nil"/>
              <w:bottom w:val="single" w:sz="8" w:space="0" w:color="A9D08E"/>
              <w:right w:val="nil"/>
            </w:tcBorders>
            <w:shd w:val="clear" w:color="000000" w:fill="FF0000"/>
            <w:noWrap/>
            <w:vAlign w:val="center"/>
            <w:hideMark/>
          </w:tcPr>
          <w:p w14:paraId="10A22BD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19,37%</w:t>
            </w:r>
          </w:p>
        </w:tc>
        <w:tc>
          <w:tcPr>
            <w:tcW w:w="1660" w:type="dxa"/>
            <w:tcBorders>
              <w:top w:val="nil"/>
              <w:left w:val="nil"/>
              <w:bottom w:val="single" w:sz="8" w:space="0" w:color="A9D08E"/>
              <w:right w:val="nil"/>
            </w:tcBorders>
            <w:shd w:val="clear" w:color="000000" w:fill="FF0000"/>
            <w:noWrap/>
            <w:vAlign w:val="center"/>
            <w:hideMark/>
          </w:tcPr>
          <w:p w14:paraId="38799A7F"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14,45%</w:t>
            </w:r>
          </w:p>
        </w:tc>
      </w:tr>
      <w:tr w:rsidR="00AD258A" w:rsidRPr="00AD258A" w14:paraId="3AAD88FE"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351F7214"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Casan</w:t>
            </w:r>
          </w:p>
        </w:tc>
        <w:tc>
          <w:tcPr>
            <w:tcW w:w="1240" w:type="dxa"/>
            <w:tcBorders>
              <w:top w:val="nil"/>
              <w:left w:val="nil"/>
              <w:bottom w:val="single" w:sz="8" w:space="0" w:color="A9D08E"/>
              <w:right w:val="nil"/>
            </w:tcBorders>
            <w:shd w:val="clear" w:color="000000" w:fill="FF0000"/>
            <w:noWrap/>
            <w:vAlign w:val="center"/>
            <w:hideMark/>
          </w:tcPr>
          <w:p w14:paraId="1268485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20,39%</w:t>
            </w:r>
          </w:p>
        </w:tc>
        <w:tc>
          <w:tcPr>
            <w:tcW w:w="1660" w:type="dxa"/>
            <w:tcBorders>
              <w:top w:val="nil"/>
              <w:left w:val="nil"/>
              <w:bottom w:val="single" w:sz="8" w:space="0" w:color="A9D08E"/>
              <w:right w:val="nil"/>
            </w:tcBorders>
            <w:shd w:val="clear" w:color="000000" w:fill="FF0000"/>
            <w:noWrap/>
            <w:vAlign w:val="center"/>
            <w:hideMark/>
          </w:tcPr>
          <w:p w14:paraId="45AC6B6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20,39%</w:t>
            </w:r>
          </w:p>
        </w:tc>
        <w:tc>
          <w:tcPr>
            <w:tcW w:w="1363" w:type="dxa"/>
            <w:tcBorders>
              <w:top w:val="nil"/>
              <w:left w:val="nil"/>
              <w:bottom w:val="single" w:sz="8" w:space="0" w:color="A9D08E"/>
              <w:right w:val="nil"/>
            </w:tcBorders>
            <w:shd w:val="clear" w:color="000000" w:fill="FFFF00"/>
            <w:noWrap/>
            <w:vAlign w:val="center"/>
            <w:hideMark/>
          </w:tcPr>
          <w:p w14:paraId="02A2206C"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95,77%</w:t>
            </w:r>
          </w:p>
        </w:tc>
        <w:tc>
          <w:tcPr>
            <w:tcW w:w="1363" w:type="dxa"/>
            <w:tcBorders>
              <w:top w:val="nil"/>
              <w:left w:val="nil"/>
              <w:bottom w:val="single" w:sz="8" w:space="0" w:color="A9D08E"/>
              <w:right w:val="nil"/>
            </w:tcBorders>
            <w:shd w:val="clear" w:color="000000" w:fill="FFFF00"/>
            <w:noWrap/>
            <w:vAlign w:val="center"/>
            <w:hideMark/>
          </w:tcPr>
          <w:p w14:paraId="20C2915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80,94%</w:t>
            </w:r>
          </w:p>
        </w:tc>
        <w:tc>
          <w:tcPr>
            <w:tcW w:w="1420" w:type="dxa"/>
            <w:tcBorders>
              <w:top w:val="nil"/>
              <w:left w:val="nil"/>
              <w:bottom w:val="single" w:sz="8" w:space="0" w:color="A9D08E"/>
              <w:right w:val="nil"/>
            </w:tcBorders>
            <w:shd w:val="clear" w:color="000000" w:fill="FF0000"/>
            <w:noWrap/>
            <w:vAlign w:val="center"/>
            <w:hideMark/>
          </w:tcPr>
          <w:p w14:paraId="634DD89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19,13%</w:t>
            </w:r>
          </w:p>
        </w:tc>
        <w:tc>
          <w:tcPr>
            <w:tcW w:w="1660" w:type="dxa"/>
            <w:tcBorders>
              <w:top w:val="nil"/>
              <w:left w:val="nil"/>
              <w:bottom w:val="single" w:sz="8" w:space="0" w:color="A9D08E"/>
              <w:right w:val="nil"/>
            </w:tcBorders>
            <w:shd w:val="clear" w:color="000000" w:fill="FF0000"/>
            <w:noWrap/>
            <w:vAlign w:val="center"/>
            <w:hideMark/>
          </w:tcPr>
          <w:p w14:paraId="3C7A4B7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15,25%</w:t>
            </w:r>
          </w:p>
        </w:tc>
      </w:tr>
      <w:tr w:rsidR="00AD258A" w:rsidRPr="00AD258A" w14:paraId="2707C07A"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2E6D48AC"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Cedae</w:t>
            </w:r>
          </w:p>
        </w:tc>
        <w:tc>
          <w:tcPr>
            <w:tcW w:w="1240" w:type="dxa"/>
            <w:tcBorders>
              <w:top w:val="nil"/>
              <w:left w:val="nil"/>
              <w:bottom w:val="single" w:sz="8" w:space="0" w:color="A9D08E"/>
              <w:right w:val="nil"/>
            </w:tcBorders>
            <w:shd w:val="clear" w:color="000000" w:fill="FFFF00"/>
            <w:noWrap/>
            <w:vAlign w:val="center"/>
            <w:hideMark/>
          </w:tcPr>
          <w:p w14:paraId="3189C48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46,13%</w:t>
            </w:r>
          </w:p>
        </w:tc>
        <w:tc>
          <w:tcPr>
            <w:tcW w:w="1660" w:type="dxa"/>
            <w:tcBorders>
              <w:top w:val="nil"/>
              <w:left w:val="nil"/>
              <w:bottom w:val="single" w:sz="8" w:space="0" w:color="A9D08E"/>
              <w:right w:val="nil"/>
            </w:tcBorders>
            <w:shd w:val="clear" w:color="000000" w:fill="FFFF00"/>
            <w:noWrap/>
            <w:vAlign w:val="center"/>
            <w:hideMark/>
          </w:tcPr>
          <w:p w14:paraId="0D44506C"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29,46%</w:t>
            </w:r>
          </w:p>
        </w:tc>
        <w:tc>
          <w:tcPr>
            <w:tcW w:w="1363" w:type="dxa"/>
            <w:tcBorders>
              <w:top w:val="nil"/>
              <w:left w:val="nil"/>
              <w:bottom w:val="single" w:sz="8" w:space="0" w:color="A9D08E"/>
              <w:right w:val="nil"/>
            </w:tcBorders>
            <w:shd w:val="clear" w:color="000000" w:fill="FFFF00"/>
            <w:noWrap/>
            <w:vAlign w:val="center"/>
            <w:hideMark/>
          </w:tcPr>
          <w:p w14:paraId="10CE049F"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90,16%</w:t>
            </w:r>
          </w:p>
        </w:tc>
        <w:tc>
          <w:tcPr>
            <w:tcW w:w="1363" w:type="dxa"/>
            <w:tcBorders>
              <w:top w:val="nil"/>
              <w:left w:val="nil"/>
              <w:bottom w:val="single" w:sz="8" w:space="0" w:color="A9D08E"/>
              <w:right w:val="nil"/>
            </w:tcBorders>
            <w:shd w:val="clear" w:color="000000" w:fill="92D050"/>
            <w:noWrap/>
            <w:vAlign w:val="center"/>
            <w:hideMark/>
          </w:tcPr>
          <w:p w14:paraId="4A9402E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89,74%</w:t>
            </w:r>
          </w:p>
        </w:tc>
        <w:tc>
          <w:tcPr>
            <w:tcW w:w="1420" w:type="dxa"/>
            <w:tcBorders>
              <w:top w:val="nil"/>
              <w:left w:val="nil"/>
              <w:bottom w:val="single" w:sz="8" w:space="0" w:color="A9D08E"/>
              <w:right w:val="nil"/>
            </w:tcBorders>
            <w:shd w:val="clear" w:color="000000" w:fill="92D050"/>
            <w:noWrap/>
            <w:vAlign w:val="center"/>
            <w:hideMark/>
          </w:tcPr>
          <w:p w14:paraId="2B3F57A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49,59%</w:t>
            </w:r>
          </w:p>
        </w:tc>
        <w:tc>
          <w:tcPr>
            <w:tcW w:w="1660" w:type="dxa"/>
            <w:tcBorders>
              <w:top w:val="nil"/>
              <w:left w:val="nil"/>
              <w:bottom w:val="single" w:sz="8" w:space="0" w:color="A9D08E"/>
              <w:right w:val="nil"/>
            </w:tcBorders>
            <w:shd w:val="clear" w:color="000000" w:fill="92D050"/>
            <w:noWrap/>
            <w:vAlign w:val="center"/>
            <w:hideMark/>
          </w:tcPr>
          <w:p w14:paraId="3812099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48,37%</w:t>
            </w:r>
          </w:p>
        </w:tc>
      </w:tr>
      <w:tr w:rsidR="00AD258A" w:rsidRPr="00AD258A" w14:paraId="6FC82A6B"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6F6FC622"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Cesan</w:t>
            </w:r>
          </w:p>
        </w:tc>
        <w:tc>
          <w:tcPr>
            <w:tcW w:w="1240" w:type="dxa"/>
            <w:tcBorders>
              <w:top w:val="nil"/>
              <w:left w:val="nil"/>
              <w:bottom w:val="single" w:sz="8" w:space="0" w:color="A9D08E"/>
              <w:right w:val="nil"/>
            </w:tcBorders>
            <w:shd w:val="clear" w:color="000000" w:fill="FFFF00"/>
            <w:noWrap/>
            <w:vAlign w:val="center"/>
            <w:hideMark/>
          </w:tcPr>
          <w:p w14:paraId="2E1100F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34,64%</w:t>
            </w:r>
          </w:p>
        </w:tc>
        <w:tc>
          <w:tcPr>
            <w:tcW w:w="1660" w:type="dxa"/>
            <w:tcBorders>
              <w:top w:val="nil"/>
              <w:left w:val="nil"/>
              <w:bottom w:val="single" w:sz="8" w:space="0" w:color="A9D08E"/>
              <w:right w:val="nil"/>
            </w:tcBorders>
            <w:shd w:val="clear" w:color="000000" w:fill="FFFF00"/>
            <w:noWrap/>
            <w:vAlign w:val="center"/>
            <w:hideMark/>
          </w:tcPr>
          <w:p w14:paraId="5D5DB0F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32,70%</w:t>
            </w:r>
          </w:p>
        </w:tc>
        <w:tc>
          <w:tcPr>
            <w:tcW w:w="1363" w:type="dxa"/>
            <w:tcBorders>
              <w:top w:val="nil"/>
              <w:left w:val="nil"/>
              <w:bottom w:val="single" w:sz="8" w:space="0" w:color="A9D08E"/>
              <w:right w:val="nil"/>
            </w:tcBorders>
            <w:shd w:val="clear" w:color="000000" w:fill="FFFF00"/>
            <w:noWrap/>
            <w:vAlign w:val="center"/>
            <w:hideMark/>
          </w:tcPr>
          <w:p w14:paraId="6E5A829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91,77%</w:t>
            </w:r>
          </w:p>
        </w:tc>
        <w:tc>
          <w:tcPr>
            <w:tcW w:w="1363" w:type="dxa"/>
            <w:tcBorders>
              <w:top w:val="nil"/>
              <w:left w:val="nil"/>
              <w:bottom w:val="single" w:sz="8" w:space="0" w:color="A9D08E"/>
              <w:right w:val="nil"/>
            </w:tcBorders>
            <w:shd w:val="clear" w:color="000000" w:fill="FFFF00"/>
            <w:noWrap/>
            <w:vAlign w:val="center"/>
            <w:hideMark/>
          </w:tcPr>
          <w:p w14:paraId="214FCD2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79,03%</w:t>
            </w:r>
          </w:p>
        </w:tc>
        <w:tc>
          <w:tcPr>
            <w:tcW w:w="1420" w:type="dxa"/>
            <w:tcBorders>
              <w:top w:val="nil"/>
              <w:left w:val="nil"/>
              <w:bottom w:val="single" w:sz="8" w:space="0" w:color="A9D08E"/>
              <w:right w:val="nil"/>
            </w:tcBorders>
            <w:shd w:val="clear" w:color="000000" w:fill="FFFF00"/>
            <w:noWrap/>
            <w:vAlign w:val="center"/>
            <w:hideMark/>
          </w:tcPr>
          <w:p w14:paraId="0D7EB20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43,08%</w:t>
            </w:r>
          </w:p>
        </w:tc>
        <w:tc>
          <w:tcPr>
            <w:tcW w:w="1660" w:type="dxa"/>
            <w:tcBorders>
              <w:top w:val="nil"/>
              <w:left w:val="nil"/>
              <w:bottom w:val="single" w:sz="8" w:space="0" w:color="A9D08E"/>
              <w:right w:val="nil"/>
            </w:tcBorders>
            <w:shd w:val="clear" w:color="000000" w:fill="92D050"/>
            <w:noWrap/>
            <w:vAlign w:val="center"/>
            <w:hideMark/>
          </w:tcPr>
          <w:p w14:paraId="5080945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37,11%</w:t>
            </w:r>
          </w:p>
        </w:tc>
      </w:tr>
      <w:tr w:rsidR="00AD258A" w:rsidRPr="00AD258A" w14:paraId="4D661CF0"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6D103006"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Compesa</w:t>
            </w:r>
          </w:p>
        </w:tc>
        <w:tc>
          <w:tcPr>
            <w:tcW w:w="1240" w:type="dxa"/>
            <w:tcBorders>
              <w:top w:val="nil"/>
              <w:left w:val="nil"/>
              <w:bottom w:val="single" w:sz="8" w:space="0" w:color="A9D08E"/>
              <w:right w:val="nil"/>
            </w:tcBorders>
            <w:shd w:val="clear" w:color="000000" w:fill="FFFF00"/>
            <w:noWrap/>
            <w:vAlign w:val="center"/>
            <w:hideMark/>
          </w:tcPr>
          <w:p w14:paraId="210F386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27,35%</w:t>
            </w:r>
          </w:p>
        </w:tc>
        <w:tc>
          <w:tcPr>
            <w:tcW w:w="1660" w:type="dxa"/>
            <w:tcBorders>
              <w:top w:val="nil"/>
              <w:left w:val="nil"/>
              <w:bottom w:val="single" w:sz="8" w:space="0" w:color="A9D08E"/>
              <w:right w:val="nil"/>
            </w:tcBorders>
            <w:shd w:val="clear" w:color="000000" w:fill="FFFF00"/>
            <w:noWrap/>
            <w:vAlign w:val="center"/>
            <w:hideMark/>
          </w:tcPr>
          <w:p w14:paraId="5FF3F31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27,19%</w:t>
            </w:r>
          </w:p>
        </w:tc>
        <w:tc>
          <w:tcPr>
            <w:tcW w:w="1363" w:type="dxa"/>
            <w:tcBorders>
              <w:top w:val="nil"/>
              <w:left w:val="nil"/>
              <w:bottom w:val="single" w:sz="8" w:space="0" w:color="A9D08E"/>
              <w:right w:val="nil"/>
            </w:tcBorders>
            <w:shd w:val="clear" w:color="000000" w:fill="FF0000"/>
            <w:noWrap/>
            <w:vAlign w:val="center"/>
            <w:hideMark/>
          </w:tcPr>
          <w:p w14:paraId="2CC1256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88,30%</w:t>
            </w:r>
          </w:p>
        </w:tc>
        <w:tc>
          <w:tcPr>
            <w:tcW w:w="1363" w:type="dxa"/>
            <w:tcBorders>
              <w:top w:val="nil"/>
              <w:left w:val="nil"/>
              <w:bottom w:val="single" w:sz="8" w:space="0" w:color="A9D08E"/>
              <w:right w:val="nil"/>
            </w:tcBorders>
            <w:shd w:val="clear" w:color="000000" w:fill="FFFF00"/>
            <w:noWrap/>
            <w:vAlign w:val="center"/>
            <w:hideMark/>
          </w:tcPr>
          <w:p w14:paraId="08C5944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76,25%</w:t>
            </w:r>
          </w:p>
        </w:tc>
        <w:tc>
          <w:tcPr>
            <w:tcW w:w="1420" w:type="dxa"/>
            <w:tcBorders>
              <w:top w:val="nil"/>
              <w:left w:val="nil"/>
              <w:bottom w:val="single" w:sz="8" w:space="0" w:color="A9D08E"/>
              <w:right w:val="nil"/>
            </w:tcBorders>
            <w:shd w:val="clear" w:color="000000" w:fill="FFFF00"/>
            <w:noWrap/>
            <w:vAlign w:val="center"/>
            <w:hideMark/>
          </w:tcPr>
          <w:p w14:paraId="1ED70F5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21,34%</w:t>
            </w:r>
          </w:p>
        </w:tc>
        <w:tc>
          <w:tcPr>
            <w:tcW w:w="1660" w:type="dxa"/>
            <w:tcBorders>
              <w:top w:val="nil"/>
              <w:left w:val="nil"/>
              <w:bottom w:val="single" w:sz="8" w:space="0" w:color="A9D08E"/>
              <w:right w:val="nil"/>
            </w:tcBorders>
            <w:shd w:val="clear" w:color="000000" w:fill="FFFF00"/>
            <w:noWrap/>
            <w:vAlign w:val="center"/>
            <w:hideMark/>
          </w:tcPr>
          <w:p w14:paraId="3B733286"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17,29%</w:t>
            </w:r>
          </w:p>
        </w:tc>
      </w:tr>
      <w:tr w:rsidR="00AD258A" w:rsidRPr="00AD258A" w14:paraId="7E965E2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6171105B"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Copasa</w:t>
            </w:r>
          </w:p>
        </w:tc>
        <w:tc>
          <w:tcPr>
            <w:tcW w:w="1240" w:type="dxa"/>
            <w:tcBorders>
              <w:top w:val="nil"/>
              <w:left w:val="nil"/>
              <w:bottom w:val="single" w:sz="8" w:space="0" w:color="A9D08E"/>
              <w:right w:val="nil"/>
            </w:tcBorders>
            <w:shd w:val="clear" w:color="000000" w:fill="92D050"/>
            <w:noWrap/>
            <w:vAlign w:val="center"/>
            <w:hideMark/>
          </w:tcPr>
          <w:p w14:paraId="498D65D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53,72%</w:t>
            </w:r>
          </w:p>
        </w:tc>
        <w:tc>
          <w:tcPr>
            <w:tcW w:w="1660" w:type="dxa"/>
            <w:tcBorders>
              <w:top w:val="nil"/>
              <w:left w:val="nil"/>
              <w:bottom w:val="single" w:sz="8" w:space="0" w:color="A9D08E"/>
              <w:right w:val="nil"/>
            </w:tcBorders>
            <w:shd w:val="clear" w:color="000000" w:fill="92D050"/>
            <w:noWrap/>
            <w:vAlign w:val="center"/>
            <w:hideMark/>
          </w:tcPr>
          <w:p w14:paraId="50891A2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39,15%</w:t>
            </w:r>
          </w:p>
        </w:tc>
        <w:tc>
          <w:tcPr>
            <w:tcW w:w="1363" w:type="dxa"/>
            <w:tcBorders>
              <w:top w:val="nil"/>
              <w:left w:val="nil"/>
              <w:bottom w:val="single" w:sz="8" w:space="0" w:color="A9D08E"/>
              <w:right w:val="nil"/>
            </w:tcBorders>
            <w:shd w:val="clear" w:color="000000" w:fill="FF0000"/>
            <w:noWrap/>
            <w:vAlign w:val="center"/>
            <w:hideMark/>
          </w:tcPr>
          <w:p w14:paraId="36BD790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90,05%</w:t>
            </w:r>
          </w:p>
        </w:tc>
        <w:tc>
          <w:tcPr>
            <w:tcW w:w="1363" w:type="dxa"/>
            <w:tcBorders>
              <w:top w:val="nil"/>
              <w:left w:val="nil"/>
              <w:bottom w:val="single" w:sz="8" w:space="0" w:color="A9D08E"/>
              <w:right w:val="nil"/>
            </w:tcBorders>
            <w:shd w:val="clear" w:color="000000" w:fill="FFFF00"/>
            <w:noWrap/>
            <w:vAlign w:val="center"/>
            <w:hideMark/>
          </w:tcPr>
          <w:p w14:paraId="1DD9BF9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76,98%</w:t>
            </w:r>
          </w:p>
        </w:tc>
        <w:tc>
          <w:tcPr>
            <w:tcW w:w="1420" w:type="dxa"/>
            <w:tcBorders>
              <w:top w:val="nil"/>
              <w:left w:val="nil"/>
              <w:bottom w:val="single" w:sz="8" w:space="0" w:color="A9D08E"/>
              <w:right w:val="nil"/>
            </w:tcBorders>
            <w:shd w:val="clear" w:color="000000" w:fill="92D050"/>
            <w:noWrap/>
            <w:vAlign w:val="center"/>
            <w:hideMark/>
          </w:tcPr>
          <w:p w14:paraId="4598C65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60,89%</w:t>
            </w:r>
          </w:p>
        </w:tc>
        <w:tc>
          <w:tcPr>
            <w:tcW w:w="1660" w:type="dxa"/>
            <w:tcBorders>
              <w:top w:val="nil"/>
              <w:left w:val="nil"/>
              <w:bottom w:val="single" w:sz="8" w:space="0" w:color="A9D08E"/>
              <w:right w:val="nil"/>
            </w:tcBorders>
            <w:shd w:val="clear" w:color="000000" w:fill="92D050"/>
            <w:noWrap/>
            <w:vAlign w:val="center"/>
            <w:hideMark/>
          </w:tcPr>
          <w:p w14:paraId="10FE15C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52,05%</w:t>
            </w:r>
          </w:p>
        </w:tc>
      </w:tr>
      <w:tr w:rsidR="00AD258A" w:rsidRPr="00AD258A" w14:paraId="5FEC7B11"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69A665AA"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Corsan</w:t>
            </w:r>
          </w:p>
        </w:tc>
        <w:tc>
          <w:tcPr>
            <w:tcW w:w="1240" w:type="dxa"/>
            <w:tcBorders>
              <w:top w:val="nil"/>
              <w:left w:val="nil"/>
              <w:bottom w:val="single" w:sz="8" w:space="0" w:color="A9D08E"/>
              <w:right w:val="nil"/>
            </w:tcBorders>
            <w:shd w:val="clear" w:color="000000" w:fill="FF0000"/>
            <w:noWrap/>
            <w:vAlign w:val="center"/>
            <w:hideMark/>
          </w:tcPr>
          <w:p w14:paraId="2F971BD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8,51%</w:t>
            </w:r>
          </w:p>
        </w:tc>
        <w:tc>
          <w:tcPr>
            <w:tcW w:w="1660" w:type="dxa"/>
            <w:tcBorders>
              <w:top w:val="nil"/>
              <w:left w:val="nil"/>
              <w:bottom w:val="single" w:sz="8" w:space="0" w:color="A9D08E"/>
              <w:right w:val="nil"/>
            </w:tcBorders>
            <w:shd w:val="clear" w:color="000000" w:fill="FF0000"/>
            <w:noWrap/>
            <w:vAlign w:val="center"/>
            <w:hideMark/>
          </w:tcPr>
          <w:p w14:paraId="53134B2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13,36%</w:t>
            </w:r>
          </w:p>
        </w:tc>
        <w:tc>
          <w:tcPr>
            <w:tcW w:w="1363" w:type="dxa"/>
            <w:tcBorders>
              <w:top w:val="nil"/>
              <w:left w:val="nil"/>
              <w:bottom w:val="single" w:sz="8" w:space="0" w:color="A9D08E"/>
              <w:right w:val="nil"/>
            </w:tcBorders>
            <w:shd w:val="clear" w:color="000000" w:fill="FFFF00"/>
            <w:noWrap/>
            <w:vAlign w:val="center"/>
            <w:hideMark/>
          </w:tcPr>
          <w:p w14:paraId="2637581C"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95,40%</w:t>
            </w:r>
          </w:p>
        </w:tc>
        <w:tc>
          <w:tcPr>
            <w:tcW w:w="1363" w:type="dxa"/>
            <w:tcBorders>
              <w:top w:val="nil"/>
              <w:left w:val="nil"/>
              <w:bottom w:val="single" w:sz="8" w:space="0" w:color="A9D08E"/>
              <w:right w:val="nil"/>
            </w:tcBorders>
            <w:shd w:val="clear" w:color="000000" w:fill="92D050"/>
            <w:noWrap/>
            <w:vAlign w:val="center"/>
            <w:hideMark/>
          </w:tcPr>
          <w:p w14:paraId="343BF97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82,77%</w:t>
            </w:r>
          </w:p>
        </w:tc>
        <w:tc>
          <w:tcPr>
            <w:tcW w:w="1420" w:type="dxa"/>
            <w:tcBorders>
              <w:top w:val="nil"/>
              <w:left w:val="nil"/>
              <w:bottom w:val="single" w:sz="8" w:space="0" w:color="A9D08E"/>
              <w:right w:val="nil"/>
            </w:tcBorders>
            <w:shd w:val="clear" w:color="000000" w:fill="FF0000"/>
            <w:noWrap/>
            <w:vAlign w:val="center"/>
            <w:hideMark/>
          </w:tcPr>
          <w:p w14:paraId="7BDD6AF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11,86%</w:t>
            </w:r>
          </w:p>
        </w:tc>
        <w:tc>
          <w:tcPr>
            <w:tcW w:w="1660" w:type="dxa"/>
            <w:tcBorders>
              <w:top w:val="nil"/>
              <w:left w:val="nil"/>
              <w:bottom w:val="single" w:sz="8" w:space="0" w:color="A9D08E"/>
              <w:right w:val="nil"/>
            </w:tcBorders>
            <w:shd w:val="clear" w:color="000000" w:fill="FF0000"/>
            <w:noWrap/>
            <w:vAlign w:val="center"/>
            <w:hideMark/>
          </w:tcPr>
          <w:p w14:paraId="785E97A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9,95%</w:t>
            </w:r>
          </w:p>
        </w:tc>
      </w:tr>
      <w:tr w:rsidR="00AD258A" w:rsidRPr="00AD258A" w14:paraId="615013F9"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0E3A2B32"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Cosanpa</w:t>
            </w:r>
          </w:p>
        </w:tc>
        <w:tc>
          <w:tcPr>
            <w:tcW w:w="1240" w:type="dxa"/>
            <w:tcBorders>
              <w:top w:val="nil"/>
              <w:left w:val="nil"/>
              <w:bottom w:val="single" w:sz="8" w:space="0" w:color="A9D08E"/>
              <w:right w:val="nil"/>
            </w:tcBorders>
            <w:shd w:val="clear" w:color="000000" w:fill="FF0000"/>
            <w:noWrap/>
            <w:vAlign w:val="center"/>
            <w:hideMark/>
          </w:tcPr>
          <w:p w14:paraId="6897E5D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2,75%</w:t>
            </w:r>
          </w:p>
        </w:tc>
        <w:tc>
          <w:tcPr>
            <w:tcW w:w="1660" w:type="dxa"/>
            <w:tcBorders>
              <w:top w:val="nil"/>
              <w:left w:val="nil"/>
              <w:bottom w:val="single" w:sz="8" w:space="0" w:color="A9D08E"/>
              <w:right w:val="nil"/>
            </w:tcBorders>
            <w:shd w:val="clear" w:color="000000" w:fill="FF0000"/>
            <w:noWrap/>
            <w:vAlign w:val="center"/>
            <w:hideMark/>
          </w:tcPr>
          <w:p w14:paraId="265970A7"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0,69%</w:t>
            </w:r>
          </w:p>
        </w:tc>
        <w:tc>
          <w:tcPr>
            <w:tcW w:w="1363" w:type="dxa"/>
            <w:tcBorders>
              <w:top w:val="nil"/>
              <w:left w:val="nil"/>
              <w:bottom w:val="single" w:sz="8" w:space="0" w:color="A9D08E"/>
              <w:right w:val="nil"/>
            </w:tcBorders>
            <w:shd w:val="clear" w:color="000000" w:fill="FF0000"/>
            <w:noWrap/>
            <w:vAlign w:val="center"/>
            <w:hideMark/>
          </w:tcPr>
          <w:p w14:paraId="504380B2"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50,78%</w:t>
            </w:r>
          </w:p>
        </w:tc>
        <w:tc>
          <w:tcPr>
            <w:tcW w:w="1363" w:type="dxa"/>
            <w:tcBorders>
              <w:top w:val="nil"/>
              <w:left w:val="nil"/>
              <w:bottom w:val="single" w:sz="8" w:space="0" w:color="A9D08E"/>
              <w:right w:val="nil"/>
            </w:tcBorders>
            <w:shd w:val="clear" w:color="000000" w:fill="FF0000"/>
            <w:noWrap/>
            <w:vAlign w:val="center"/>
            <w:hideMark/>
          </w:tcPr>
          <w:p w14:paraId="48AD183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40,89%</w:t>
            </w:r>
          </w:p>
        </w:tc>
        <w:tc>
          <w:tcPr>
            <w:tcW w:w="1420" w:type="dxa"/>
            <w:tcBorders>
              <w:top w:val="nil"/>
              <w:left w:val="nil"/>
              <w:bottom w:val="single" w:sz="8" w:space="0" w:color="A9D08E"/>
              <w:right w:val="nil"/>
            </w:tcBorders>
            <w:shd w:val="clear" w:color="000000" w:fill="FF0000"/>
            <w:noWrap/>
            <w:vAlign w:val="center"/>
            <w:hideMark/>
          </w:tcPr>
          <w:p w14:paraId="3385B60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4,46%</w:t>
            </w:r>
          </w:p>
        </w:tc>
        <w:tc>
          <w:tcPr>
            <w:tcW w:w="1660" w:type="dxa"/>
            <w:tcBorders>
              <w:top w:val="nil"/>
              <w:left w:val="nil"/>
              <w:bottom w:val="single" w:sz="8" w:space="0" w:color="A9D08E"/>
              <w:right w:val="nil"/>
            </w:tcBorders>
            <w:shd w:val="clear" w:color="000000" w:fill="FF0000"/>
            <w:noWrap/>
            <w:vAlign w:val="center"/>
            <w:hideMark/>
          </w:tcPr>
          <w:p w14:paraId="2BA4835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3,41%</w:t>
            </w:r>
          </w:p>
        </w:tc>
      </w:tr>
      <w:tr w:rsidR="00AD258A" w:rsidRPr="00AD258A" w14:paraId="0F89FD9D"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581B1019"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Depasa</w:t>
            </w:r>
          </w:p>
        </w:tc>
        <w:tc>
          <w:tcPr>
            <w:tcW w:w="1240" w:type="dxa"/>
            <w:tcBorders>
              <w:top w:val="nil"/>
              <w:left w:val="nil"/>
              <w:bottom w:val="single" w:sz="8" w:space="0" w:color="A9D08E"/>
              <w:right w:val="nil"/>
            </w:tcBorders>
            <w:shd w:val="clear" w:color="000000" w:fill="FF0000"/>
            <w:noWrap/>
            <w:vAlign w:val="center"/>
            <w:hideMark/>
          </w:tcPr>
          <w:p w14:paraId="2145645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18,21%</w:t>
            </w:r>
          </w:p>
        </w:tc>
        <w:tc>
          <w:tcPr>
            <w:tcW w:w="1660" w:type="dxa"/>
            <w:tcBorders>
              <w:top w:val="nil"/>
              <w:left w:val="nil"/>
              <w:bottom w:val="single" w:sz="8" w:space="0" w:color="A9D08E"/>
              <w:right w:val="nil"/>
            </w:tcBorders>
            <w:shd w:val="clear" w:color="000000" w:fill="FF0000"/>
            <w:noWrap/>
            <w:vAlign w:val="center"/>
            <w:hideMark/>
          </w:tcPr>
          <w:p w14:paraId="7E279F4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18,21%</w:t>
            </w:r>
          </w:p>
        </w:tc>
        <w:tc>
          <w:tcPr>
            <w:tcW w:w="1363" w:type="dxa"/>
            <w:tcBorders>
              <w:top w:val="nil"/>
              <w:left w:val="nil"/>
              <w:bottom w:val="single" w:sz="8" w:space="0" w:color="A9D08E"/>
              <w:right w:val="nil"/>
            </w:tcBorders>
            <w:shd w:val="clear" w:color="000000" w:fill="FF0000"/>
            <w:noWrap/>
            <w:vAlign w:val="center"/>
            <w:hideMark/>
          </w:tcPr>
          <w:p w14:paraId="5116EED7"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64,26%</w:t>
            </w:r>
          </w:p>
        </w:tc>
        <w:tc>
          <w:tcPr>
            <w:tcW w:w="1363" w:type="dxa"/>
            <w:tcBorders>
              <w:top w:val="nil"/>
              <w:left w:val="nil"/>
              <w:bottom w:val="single" w:sz="8" w:space="0" w:color="A9D08E"/>
              <w:right w:val="nil"/>
            </w:tcBorders>
            <w:shd w:val="clear" w:color="000000" w:fill="FF0000"/>
            <w:noWrap/>
            <w:vAlign w:val="center"/>
            <w:hideMark/>
          </w:tcPr>
          <w:p w14:paraId="77D58BD6"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46,97%</w:t>
            </w:r>
          </w:p>
        </w:tc>
        <w:tc>
          <w:tcPr>
            <w:tcW w:w="1420" w:type="dxa"/>
            <w:tcBorders>
              <w:top w:val="nil"/>
              <w:left w:val="nil"/>
              <w:bottom w:val="single" w:sz="8" w:space="0" w:color="A9D08E"/>
              <w:right w:val="nil"/>
            </w:tcBorders>
            <w:shd w:val="clear" w:color="000000" w:fill="FF0000"/>
            <w:noWrap/>
            <w:vAlign w:val="center"/>
            <w:hideMark/>
          </w:tcPr>
          <w:p w14:paraId="566299DC"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14,35%</w:t>
            </w:r>
          </w:p>
        </w:tc>
        <w:tc>
          <w:tcPr>
            <w:tcW w:w="1660" w:type="dxa"/>
            <w:tcBorders>
              <w:top w:val="nil"/>
              <w:left w:val="nil"/>
              <w:bottom w:val="single" w:sz="8" w:space="0" w:color="A9D08E"/>
              <w:right w:val="nil"/>
            </w:tcBorders>
            <w:shd w:val="clear" w:color="000000" w:fill="FF0000"/>
            <w:noWrap/>
            <w:vAlign w:val="center"/>
            <w:hideMark/>
          </w:tcPr>
          <w:p w14:paraId="1FB5765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10,40%</w:t>
            </w:r>
          </w:p>
        </w:tc>
      </w:tr>
      <w:tr w:rsidR="00AD258A" w:rsidRPr="00AD258A" w14:paraId="68EC6CC6"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3BD33C3D"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Deso</w:t>
            </w:r>
          </w:p>
        </w:tc>
        <w:tc>
          <w:tcPr>
            <w:tcW w:w="1240" w:type="dxa"/>
            <w:tcBorders>
              <w:top w:val="nil"/>
              <w:left w:val="nil"/>
              <w:bottom w:val="single" w:sz="8" w:space="0" w:color="A9D08E"/>
              <w:right w:val="nil"/>
            </w:tcBorders>
            <w:shd w:val="clear" w:color="000000" w:fill="FFFF00"/>
            <w:noWrap/>
            <w:vAlign w:val="center"/>
            <w:hideMark/>
          </w:tcPr>
          <w:p w14:paraId="31BABF96"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25,43%</w:t>
            </w:r>
          </w:p>
        </w:tc>
        <w:tc>
          <w:tcPr>
            <w:tcW w:w="1660" w:type="dxa"/>
            <w:tcBorders>
              <w:top w:val="nil"/>
              <w:left w:val="nil"/>
              <w:bottom w:val="single" w:sz="8" w:space="0" w:color="A9D08E"/>
              <w:right w:val="nil"/>
            </w:tcBorders>
            <w:shd w:val="clear" w:color="000000" w:fill="FFFF00"/>
            <w:noWrap/>
            <w:vAlign w:val="center"/>
            <w:hideMark/>
          </w:tcPr>
          <w:p w14:paraId="6454A5A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25,43%</w:t>
            </w:r>
          </w:p>
        </w:tc>
        <w:tc>
          <w:tcPr>
            <w:tcW w:w="1363" w:type="dxa"/>
            <w:tcBorders>
              <w:top w:val="nil"/>
              <w:left w:val="nil"/>
              <w:bottom w:val="single" w:sz="8" w:space="0" w:color="A9D08E"/>
              <w:right w:val="nil"/>
            </w:tcBorders>
            <w:shd w:val="clear" w:color="000000" w:fill="FF0000"/>
            <w:noWrap/>
            <w:vAlign w:val="center"/>
            <w:hideMark/>
          </w:tcPr>
          <w:p w14:paraId="1E63A81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90,05%</w:t>
            </w:r>
          </w:p>
        </w:tc>
        <w:tc>
          <w:tcPr>
            <w:tcW w:w="1363" w:type="dxa"/>
            <w:tcBorders>
              <w:top w:val="nil"/>
              <w:left w:val="nil"/>
              <w:bottom w:val="single" w:sz="8" w:space="0" w:color="A9D08E"/>
              <w:right w:val="nil"/>
            </w:tcBorders>
            <w:shd w:val="clear" w:color="000000" w:fill="92D050"/>
            <w:noWrap/>
            <w:vAlign w:val="center"/>
            <w:hideMark/>
          </w:tcPr>
          <w:p w14:paraId="7033A16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81,09%</w:t>
            </w:r>
          </w:p>
        </w:tc>
        <w:tc>
          <w:tcPr>
            <w:tcW w:w="1420" w:type="dxa"/>
            <w:tcBorders>
              <w:top w:val="nil"/>
              <w:left w:val="nil"/>
              <w:bottom w:val="single" w:sz="8" w:space="0" w:color="A9D08E"/>
              <w:right w:val="nil"/>
            </w:tcBorders>
            <w:shd w:val="clear" w:color="000000" w:fill="FFFF00"/>
            <w:noWrap/>
            <w:vAlign w:val="center"/>
            <w:hideMark/>
          </w:tcPr>
          <w:p w14:paraId="07C4486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21,65%</w:t>
            </w:r>
          </w:p>
        </w:tc>
        <w:tc>
          <w:tcPr>
            <w:tcW w:w="1660" w:type="dxa"/>
            <w:tcBorders>
              <w:top w:val="nil"/>
              <w:left w:val="nil"/>
              <w:bottom w:val="single" w:sz="8" w:space="0" w:color="A9D08E"/>
              <w:right w:val="nil"/>
            </w:tcBorders>
            <w:shd w:val="clear" w:color="000000" w:fill="FFFF00"/>
            <w:noWrap/>
            <w:vAlign w:val="center"/>
            <w:hideMark/>
          </w:tcPr>
          <w:p w14:paraId="101AA30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16,02%</w:t>
            </w:r>
          </w:p>
        </w:tc>
      </w:tr>
      <w:tr w:rsidR="00AD258A" w:rsidRPr="00AD258A" w14:paraId="41B72D9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5115DB18"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Embasa</w:t>
            </w:r>
          </w:p>
        </w:tc>
        <w:tc>
          <w:tcPr>
            <w:tcW w:w="1240" w:type="dxa"/>
            <w:tcBorders>
              <w:top w:val="nil"/>
              <w:left w:val="nil"/>
              <w:bottom w:val="single" w:sz="8" w:space="0" w:color="A9D08E"/>
              <w:right w:val="nil"/>
            </w:tcBorders>
            <w:shd w:val="clear" w:color="000000" w:fill="92D050"/>
            <w:noWrap/>
            <w:vAlign w:val="center"/>
            <w:hideMark/>
          </w:tcPr>
          <w:p w14:paraId="4E830887"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51,78%</w:t>
            </w:r>
          </w:p>
        </w:tc>
        <w:tc>
          <w:tcPr>
            <w:tcW w:w="1660" w:type="dxa"/>
            <w:tcBorders>
              <w:top w:val="nil"/>
              <w:left w:val="nil"/>
              <w:bottom w:val="single" w:sz="8" w:space="0" w:color="A9D08E"/>
              <w:right w:val="nil"/>
            </w:tcBorders>
            <w:shd w:val="clear" w:color="000000" w:fill="92D050"/>
            <w:noWrap/>
            <w:vAlign w:val="center"/>
            <w:hideMark/>
          </w:tcPr>
          <w:p w14:paraId="13EAF09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51,26%</w:t>
            </w:r>
          </w:p>
        </w:tc>
        <w:tc>
          <w:tcPr>
            <w:tcW w:w="1363" w:type="dxa"/>
            <w:tcBorders>
              <w:top w:val="nil"/>
              <w:left w:val="nil"/>
              <w:bottom w:val="single" w:sz="8" w:space="0" w:color="A9D08E"/>
              <w:right w:val="nil"/>
            </w:tcBorders>
            <w:shd w:val="clear" w:color="000000" w:fill="FFFF00"/>
            <w:noWrap/>
            <w:vAlign w:val="center"/>
            <w:hideMark/>
          </w:tcPr>
          <w:p w14:paraId="371CD0FC"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94,70%</w:t>
            </w:r>
          </w:p>
        </w:tc>
        <w:tc>
          <w:tcPr>
            <w:tcW w:w="1363" w:type="dxa"/>
            <w:tcBorders>
              <w:top w:val="nil"/>
              <w:left w:val="nil"/>
              <w:bottom w:val="single" w:sz="8" w:space="0" w:color="A9D08E"/>
              <w:right w:val="nil"/>
            </w:tcBorders>
            <w:shd w:val="clear" w:color="000000" w:fill="FFFF00"/>
            <w:noWrap/>
            <w:vAlign w:val="center"/>
            <w:hideMark/>
          </w:tcPr>
          <w:p w14:paraId="678A1E4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77,68%</w:t>
            </w:r>
          </w:p>
        </w:tc>
        <w:tc>
          <w:tcPr>
            <w:tcW w:w="1420" w:type="dxa"/>
            <w:tcBorders>
              <w:top w:val="nil"/>
              <w:left w:val="nil"/>
              <w:bottom w:val="single" w:sz="8" w:space="0" w:color="A9D08E"/>
              <w:right w:val="nil"/>
            </w:tcBorders>
            <w:shd w:val="clear" w:color="000000" w:fill="92D050"/>
            <w:noWrap/>
            <w:vAlign w:val="center"/>
            <w:hideMark/>
          </w:tcPr>
          <w:p w14:paraId="38B75AC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43,46%</w:t>
            </w:r>
          </w:p>
        </w:tc>
        <w:tc>
          <w:tcPr>
            <w:tcW w:w="1660" w:type="dxa"/>
            <w:tcBorders>
              <w:top w:val="nil"/>
              <w:left w:val="nil"/>
              <w:bottom w:val="single" w:sz="8" w:space="0" w:color="A9D08E"/>
              <w:right w:val="nil"/>
            </w:tcBorders>
            <w:shd w:val="clear" w:color="000000" w:fill="FFFF00"/>
            <w:noWrap/>
            <w:vAlign w:val="center"/>
            <w:hideMark/>
          </w:tcPr>
          <w:p w14:paraId="6D21B8B0"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31,98%</w:t>
            </w:r>
          </w:p>
        </w:tc>
      </w:tr>
      <w:tr w:rsidR="00AD258A" w:rsidRPr="00AD258A" w14:paraId="651C3B6A"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2B5C4123"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Sabesp</w:t>
            </w:r>
          </w:p>
        </w:tc>
        <w:tc>
          <w:tcPr>
            <w:tcW w:w="1240" w:type="dxa"/>
            <w:tcBorders>
              <w:top w:val="nil"/>
              <w:left w:val="nil"/>
              <w:bottom w:val="single" w:sz="8" w:space="0" w:color="A9D08E"/>
              <w:right w:val="nil"/>
            </w:tcBorders>
            <w:shd w:val="clear" w:color="000000" w:fill="92D050"/>
            <w:noWrap/>
            <w:vAlign w:val="center"/>
            <w:hideMark/>
          </w:tcPr>
          <w:p w14:paraId="0D3BA24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74,78%</w:t>
            </w:r>
          </w:p>
        </w:tc>
        <w:tc>
          <w:tcPr>
            <w:tcW w:w="1660" w:type="dxa"/>
            <w:tcBorders>
              <w:top w:val="nil"/>
              <w:left w:val="nil"/>
              <w:bottom w:val="single" w:sz="8" w:space="0" w:color="A9D08E"/>
              <w:right w:val="nil"/>
            </w:tcBorders>
            <w:shd w:val="clear" w:color="000000" w:fill="92D050"/>
            <w:noWrap/>
            <w:vAlign w:val="center"/>
            <w:hideMark/>
          </w:tcPr>
          <w:p w14:paraId="43CE1B7F"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59,59%</w:t>
            </w:r>
          </w:p>
        </w:tc>
        <w:tc>
          <w:tcPr>
            <w:tcW w:w="1363" w:type="dxa"/>
            <w:tcBorders>
              <w:top w:val="nil"/>
              <w:left w:val="nil"/>
              <w:bottom w:val="single" w:sz="8" w:space="0" w:color="A9D08E"/>
              <w:right w:val="nil"/>
            </w:tcBorders>
            <w:shd w:val="clear" w:color="000000" w:fill="92D050"/>
            <w:noWrap/>
            <w:vAlign w:val="center"/>
            <w:hideMark/>
          </w:tcPr>
          <w:p w14:paraId="5501A177"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97,76%</w:t>
            </w:r>
          </w:p>
        </w:tc>
        <w:tc>
          <w:tcPr>
            <w:tcW w:w="1363" w:type="dxa"/>
            <w:tcBorders>
              <w:top w:val="nil"/>
              <w:left w:val="nil"/>
              <w:bottom w:val="single" w:sz="8" w:space="0" w:color="A9D08E"/>
              <w:right w:val="nil"/>
            </w:tcBorders>
            <w:shd w:val="clear" w:color="000000" w:fill="92D050"/>
            <w:noWrap/>
            <w:vAlign w:val="center"/>
            <w:hideMark/>
          </w:tcPr>
          <w:p w14:paraId="3A9C334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94,97%</w:t>
            </w:r>
          </w:p>
        </w:tc>
        <w:tc>
          <w:tcPr>
            <w:tcW w:w="1420" w:type="dxa"/>
            <w:tcBorders>
              <w:top w:val="nil"/>
              <w:left w:val="nil"/>
              <w:bottom w:val="single" w:sz="8" w:space="0" w:color="A9D08E"/>
              <w:right w:val="nil"/>
            </w:tcBorders>
            <w:shd w:val="clear" w:color="000000" w:fill="92D050"/>
            <w:noWrap/>
            <w:vAlign w:val="center"/>
            <w:hideMark/>
          </w:tcPr>
          <w:p w14:paraId="156773CC"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88,46%</w:t>
            </w:r>
          </w:p>
        </w:tc>
        <w:tc>
          <w:tcPr>
            <w:tcW w:w="1660" w:type="dxa"/>
            <w:tcBorders>
              <w:top w:val="nil"/>
              <w:left w:val="nil"/>
              <w:bottom w:val="single" w:sz="8" w:space="0" w:color="A9D08E"/>
              <w:right w:val="nil"/>
            </w:tcBorders>
            <w:shd w:val="clear" w:color="000000" w:fill="92D050"/>
            <w:noWrap/>
            <w:vAlign w:val="center"/>
            <w:hideMark/>
          </w:tcPr>
          <w:p w14:paraId="3CD2268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85,40%</w:t>
            </w:r>
          </w:p>
        </w:tc>
      </w:tr>
      <w:tr w:rsidR="00AD258A" w:rsidRPr="00AD258A" w14:paraId="76CCBDC7"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07204AD2"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Saneago</w:t>
            </w:r>
          </w:p>
        </w:tc>
        <w:tc>
          <w:tcPr>
            <w:tcW w:w="1240" w:type="dxa"/>
            <w:tcBorders>
              <w:top w:val="nil"/>
              <w:left w:val="nil"/>
              <w:bottom w:val="single" w:sz="8" w:space="0" w:color="A9D08E"/>
              <w:right w:val="nil"/>
            </w:tcBorders>
            <w:shd w:val="clear" w:color="000000" w:fill="92D050"/>
            <w:noWrap/>
            <w:vAlign w:val="center"/>
            <w:hideMark/>
          </w:tcPr>
          <w:p w14:paraId="7CE310AF"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53,25%</w:t>
            </w:r>
          </w:p>
        </w:tc>
        <w:tc>
          <w:tcPr>
            <w:tcW w:w="1660" w:type="dxa"/>
            <w:tcBorders>
              <w:top w:val="nil"/>
              <w:left w:val="nil"/>
              <w:bottom w:val="single" w:sz="8" w:space="0" w:color="A9D08E"/>
              <w:right w:val="nil"/>
            </w:tcBorders>
            <w:shd w:val="clear" w:color="000000" w:fill="92D050"/>
            <w:noWrap/>
            <w:vAlign w:val="center"/>
            <w:hideMark/>
          </w:tcPr>
          <w:p w14:paraId="2E0404D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46,82%</w:t>
            </w:r>
          </w:p>
        </w:tc>
        <w:tc>
          <w:tcPr>
            <w:tcW w:w="1363" w:type="dxa"/>
            <w:tcBorders>
              <w:top w:val="nil"/>
              <w:left w:val="nil"/>
              <w:bottom w:val="single" w:sz="8" w:space="0" w:color="A9D08E"/>
              <w:right w:val="nil"/>
            </w:tcBorders>
            <w:shd w:val="clear" w:color="000000" w:fill="92D050"/>
            <w:noWrap/>
            <w:vAlign w:val="center"/>
            <w:hideMark/>
          </w:tcPr>
          <w:p w14:paraId="6B3A319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96,23%</w:t>
            </w:r>
          </w:p>
        </w:tc>
        <w:tc>
          <w:tcPr>
            <w:tcW w:w="1363" w:type="dxa"/>
            <w:tcBorders>
              <w:top w:val="nil"/>
              <w:left w:val="nil"/>
              <w:bottom w:val="single" w:sz="8" w:space="0" w:color="A9D08E"/>
              <w:right w:val="nil"/>
            </w:tcBorders>
            <w:shd w:val="clear" w:color="000000" w:fill="92D050"/>
            <w:noWrap/>
            <w:vAlign w:val="center"/>
            <w:hideMark/>
          </w:tcPr>
          <w:p w14:paraId="328CB83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87,11%</w:t>
            </w:r>
          </w:p>
        </w:tc>
        <w:tc>
          <w:tcPr>
            <w:tcW w:w="1420" w:type="dxa"/>
            <w:tcBorders>
              <w:top w:val="nil"/>
              <w:left w:val="nil"/>
              <w:bottom w:val="single" w:sz="8" w:space="0" w:color="A9D08E"/>
              <w:right w:val="nil"/>
            </w:tcBorders>
            <w:shd w:val="clear" w:color="000000" w:fill="92D050"/>
            <w:noWrap/>
            <w:vAlign w:val="center"/>
            <w:hideMark/>
          </w:tcPr>
          <w:p w14:paraId="5B83A0FE"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53,16%</w:t>
            </w:r>
          </w:p>
        </w:tc>
        <w:tc>
          <w:tcPr>
            <w:tcW w:w="1660" w:type="dxa"/>
            <w:tcBorders>
              <w:top w:val="nil"/>
              <w:left w:val="nil"/>
              <w:bottom w:val="single" w:sz="8" w:space="0" w:color="A9D08E"/>
              <w:right w:val="nil"/>
            </w:tcBorders>
            <w:shd w:val="clear" w:color="000000" w:fill="92D050"/>
            <w:noWrap/>
            <w:vAlign w:val="center"/>
            <w:hideMark/>
          </w:tcPr>
          <w:p w14:paraId="63C4250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48,13%</w:t>
            </w:r>
          </w:p>
        </w:tc>
      </w:tr>
      <w:tr w:rsidR="00AD258A" w:rsidRPr="00AD258A" w14:paraId="0E133BA9"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27996565"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EA348F">
              <w:rPr>
                <w:color w:val="000000"/>
                <w:sz w:val="22"/>
                <w:lang w:eastAsia="es-CO"/>
              </w:rPr>
              <w:t>Saneatins</w:t>
            </w:r>
          </w:p>
        </w:tc>
        <w:tc>
          <w:tcPr>
            <w:tcW w:w="1240" w:type="dxa"/>
            <w:tcBorders>
              <w:top w:val="nil"/>
              <w:left w:val="nil"/>
              <w:bottom w:val="single" w:sz="8" w:space="0" w:color="A9D08E"/>
              <w:right w:val="nil"/>
            </w:tcBorders>
            <w:shd w:val="clear" w:color="000000" w:fill="FF0000"/>
            <w:noWrap/>
            <w:vAlign w:val="center"/>
            <w:hideMark/>
          </w:tcPr>
          <w:p w14:paraId="42D38EF6"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EA348F">
              <w:rPr>
                <w:color w:val="000000"/>
                <w:sz w:val="22"/>
                <w:lang w:eastAsia="es-CO"/>
              </w:rPr>
              <w:t>23,96%</w:t>
            </w:r>
          </w:p>
        </w:tc>
        <w:tc>
          <w:tcPr>
            <w:tcW w:w="1660" w:type="dxa"/>
            <w:tcBorders>
              <w:top w:val="nil"/>
              <w:left w:val="nil"/>
              <w:bottom w:val="single" w:sz="8" w:space="0" w:color="A9D08E"/>
              <w:right w:val="nil"/>
            </w:tcBorders>
            <w:shd w:val="clear" w:color="000000" w:fill="FFFF00"/>
            <w:noWrap/>
            <w:vAlign w:val="center"/>
            <w:hideMark/>
          </w:tcPr>
          <w:p w14:paraId="492040D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EA348F">
              <w:rPr>
                <w:color w:val="000000"/>
                <w:sz w:val="22"/>
                <w:lang w:eastAsia="es-CO"/>
              </w:rPr>
              <w:t>23,96%</w:t>
            </w:r>
          </w:p>
        </w:tc>
        <w:tc>
          <w:tcPr>
            <w:tcW w:w="1363" w:type="dxa"/>
            <w:tcBorders>
              <w:top w:val="nil"/>
              <w:left w:val="nil"/>
              <w:bottom w:val="single" w:sz="8" w:space="0" w:color="A9D08E"/>
              <w:right w:val="nil"/>
            </w:tcBorders>
            <w:shd w:val="clear" w:color="000000" w:fill="92D050"/>
            <w:noWrap/>
            <w:vAlign w:val="center"/>
            <w:hideMark/>
          </w:tcPr>
          <w:p w14:paraId="75647143"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EA348F">
              <w:rPr>
                <w:color w:val="000000"/>
                <w:sz w:val="22"/>
                <w:lang w:eastAsia="es-CO"/>
              </w:rPr>
              <w:t>97,77%</w:t>
            </w:r>
          </w:p>
        </w:tc>
        <w:tc>
          <w:tcPr>
            <w:tcW w:w="1363" w:type="dxa"/>
            <w:tcBorders>
              <w:top w:val="nil"/>
              <w:left w:val="nil"/>
              <w:bottom w:val="single" w:sz="8" w:space="0" w:color="A9D08E"/>
              <w:right w:val="nil"/>
            </w:tcBorders>
            <w:shd w:val="clear" w:color="000000" w:fill="92D050"/>
            <w:noWrap/>
            <w:vAlign w:val="center"/>
            <w:hideMark/>
          </w:tcPr>
          <w:p w14:paraId="295A0C8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EA348F">
              <w:rPr>
                <w:color w:val="000000"/>
                <w:sz w:val="22"/>
                <w:lang w:eastAsia="es-CO"/>
              </w:rPr>
              <w:t>89,63%</w:t>
            </w:r>
          </w:p>
        </w:tc>
        <w:tc>
          <w:tcPr>
            <w:tcW w:w="1420" w:type="dxa"/>
            <w:tcBorders>
              <w:top w:val="nil"/>
              <w:left w:val="nil"/>
              <w:bottom w:val="single" w:sz="8" w:space="0" w:color="A9D08E"/>
              <w:right w:val="nil"/>
            </w:tcBorders>
            <w:shd w:val="clear" w:color="000000" w:fill="FFFF00"/>
            <w:noWrap/>
            <w:vAlign w:val="center"/>
            <w:hideMark/>
          </w:tcPr>
          <w:p w14:paraId="7E9F742D"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EA348F">
              <w:rPr>
                <w:color w:val="000000"/>
                <w:sz w:val="22"/>
                <w:lang w:eastAsia="es-CO"/>
              </w:rPr>
              <w:t>32,23%</w:t>
            </w:r>
          </w:p>
        </w:tc>
        <w:tc>
          <w:tcPr>
            <w:tcW w:w="1660" w:type="dxa"/>
            <w:tcBorders>
              <w:top w:val="nil"/>
              <w:left w:val="nil"/>
              <w:bottom w:val="single" w:sz="8" w:space="0" w:color="A9D08E"/>
              <w:right w:val="nil"/>
            </w:tcBorders>
            <w:shd w:val="clear" w:color="000000" w:fill="FFFF00"/>
            <w:noWrap/>
            <w:vAlign w:val="center"/>
            <w:hideMark/>
          </w:tcPr>
          <w:p w14:paraId="4638DA1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EA348F">
              <w:rPr>
                <w:color w:val="000000"/>
                <w:sz w:val="22"/>
                <w:lang w:eastAsia="es-CO"/>
              </w:rPr>
              <w:t>27,10%</w:t>
            </w:r>
          </w:p>
        </w:tc>
      </w:tr>
      <w:tr w:rsidR="00AD258A" w:rsidRPr="00AD258A" w14:paraId="25EC3566"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12E488AE"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Sanepar</w:t>
            </w:r>
          </w:p>
        </w:tc>
        <w:tc>
          <w:tcPr>
            <w:tcW w:w="1240" w:type="dxa"/>
            <w:tcBorders>
              <w:top w:val="nil"/>
              <w:left w:val="nil"/>
              <w:bottom w:val="single" w:sz="8" w:space="0" w:color="A9D08E"/>
              <w:right w:val="nil"/>
            </w:tcBorders>
            <w:shd w:val="clear" w:color="000000" w:fill="92D050"/>
            <w:noWrap/>
            <w:vAlign w:val="center"/>
            <w:hideMark/>
          </w:tcPr>
          <w:p w14:paraId="645C3D3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68,26%</w:t>
            </w:r>
          </w:p>
        </w:tc>
        <w:tc>
          <w:tcPr>
            <w:tcW w:w="1660" w:type="dxa"/>
            <w:tcBorders>
              <w:top w:val="nil"/>
              <w:left w:val="nil"/>
              <w:bottom w:val="single" w:sz="8" w:space="0" w:color="A9D08E"/>
              <w:right w:val="nil"/>
            </w:tcBorders>
            <w:shd w:val="clear" w:color="000000" w:fill="92D050"/>
            <w:noWrap/>
            <w:vAlign w:val="center"/>
            <w:hideMark/>
          </w:tcPr>
          <w:p w14:paraId="41A58E85"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68,14%</w:t>
            </w:r>
          </w:p>
        </w:tc>
        <w:tc>
          <w:tcPr>
            <w:tcW w:w="1363" w:type="dxa"/>
            <w:tcBorders>
              <w:top w:val="nil"/>
              <w:left w:val="nil"/>
              <w:bottom w:val="single" w:sz="8" w:space="0" w:color="A9D08E"/>
              <w:right w:val="nil"/>
            </w:tcBorders>
            <w:shd w:val="clear" w:color="000000" w:fill="92D050"/>
            <w:noWrap/>
            <w:vAlign w:val="center"/>
            <w:hideMark/>
          </w:tcPr>
          <w:p w14:paraId="075963D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99,95%</w:t>
            </w:r>
          </w:p>
        </w:tc>
        <w:tc>
          <w:tcPr>
            <w:tcW w:w="1363" w:type="dxa"/>
            <w:tcBorders>
              <w:top w:val="nil"/>
              <w:left w:val="nil"/>
              <w:bottom w:val="single" w:sz="8" w:space="0" w:color="A9D08E"/>
              <w:right w:val="nil"/>
            </w:tcBorders>
            <w:shd w:val="clear" w:color="000000" w:fill="92D050"/>
            <w:noWrap/>
            <w:vAlign w:val="center"/>
            <w:hideMark/>
          </w:tcPr>
          <w:p w14:paraId="0B586C61"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92,81%</w:t>
            </w:r>
          </w:p>
        </w:tc>
        <w:tc>
          <w:tcPr>
            <w:tcW w:w="1420" w:type="dxa"/>
            <w:tcBorders>
              <w:top w:val="nil"/>
              <w:left w:val="nil"/>
              <w:bottom w:val="single" w:sz="8" w:space="0" w:color="A9D08E"/>
              <w:right w:val="nil"/>
            </w:tcBorders>
            <w:shd w:val="clear" w:color="000000" w:fill="92D050"/>
            <w:noWrap/>
            <w:vAlign w:val="center"/>
            <w:hideMark/>
          </w:tcPr>
          <w:p w14:paraId="5A4271F8"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76,70%</w:t>
            </w:r>
          </w:p>
        </w:tc>
        <w:tc>
          <w:tcPr>
            <w:tcW w:w="1660" w:type="dxa"/>
            <w:tcBorders>
              <w:top w:val="nil"/>
              <w:left w:val="nil"/>
              <w:bottom w:val="single" w:sz="8" w:space="0" w:color="A9D08E"/>
              <w:right w:val="nil"/>
            </w:tcBorders>
            <w:shd w:val="clear" w:color="000000" w:fill="92D050"/>
            <w:noWrap/>
            <w:vAlign w:val="center"/>
            <w:hideMark/>
          </w:tcPr>
          <w:p w14:paraId="421B21C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66,28%</w:t>
            </w:r>
          </w:p>
        </w:tc>
      </w:tr>
      <w:tr w:rsidR="00AD258A" w:rsidRPr="00AD258A" w14:paraId="78833AFD"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71C95CEC" w14:textId="77777777" w:rsidR="00AD258A" w:rsidRPr="00EA348F" w:rsidRDefault="00AD258A" w:rsidP="00AD258A">
            <w:pPr>
              <w:spacing w:before="0" w:beforeAutospacing="0" w:after="0" w:afterAutospacing="0" w:line="240" w:lineRule="auto"/>
              <w:ind w:firstLine="0"/>
              <w:jc w:val="left"/>
              <w:rPr>
                <w:color w:val="000000"/>
                <w:sz w:val="22"/>
                <w:lang w:eastAsia="es-CO"/>
              </w:rPr>
            </w:pPr>
            <w:r w:rsidRPr="00272793">
              <w:rPr>
                <w:color w:val="000000"/>
                <w:sz w:val="22"/>
                <w:lang w:eastAsia="es-CO"/>
              </w:rPr>
              <w:t>Sanesul</w:t>
            </w:r>
          </w:p>
        </w:tc>
        <w:tc>
          <w:tcPr>
            <w:tcW w:w="1240" w:type="dxa"/>
            <w:tcBorders>
              <w:top w:val="nil"/>
              <w:left w:val="nil"/>
              <w:bottom w:val="single" w:sz="8" w:space="0" w:color="A9D08E"/>
              <w:right w:val="nil"/>
            </w:tcBorders>
            <w:shd w:val="clear" w:color="000000" w:fill="FFFF00"/>
            <w:noWrap/>
            <w:vAlign w:val="center"/>
            <w:hideMark/>
          </w:tcPr>
          <w:p w14:paraId="54FEC5E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24,64%</w:t>
            </w:r>
          </w:p>
        </w:tc>
        <w:tc>
          <w:tcPr>
            <w:tcW w:w="1660" w:type="dxa"/>
            <w:tcBorders>
              <w:top w:val="nil"/>
              <w:left w:val="nil"/>
              <w:bottom w:val="single" w:sz="8" w:space="0" w:color="A9D08E"/>
              <w:right w:val="nil"/>
            </w:tcBorders>
            <w:shd w:val="clear" w:color="000000" w:fill="FFFF00"/>
            <w:noWrap/>
            <w:vAlign w:val="center"/>
            <w:hideMark/>
          </w:tcPr>
          <w:p w14:paraId="4CFA94EB"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24,64%</w:t>
            </w:r>
          </w:p>
        </w:tc>
        <w:tc>
          <w:tcPr>
            <w:tcW w:w="1363" w:type="dxa"/>
            <w:tcBorders>
              <w:top w:val="nil"/>
              <w:left w:val="nil"/>
              <w:bottom w:val="single" w:sz="8" w:space="0" w:color="A9D08E"/>
              <w:right w:val="nil"/>
            </w:tcBorders>
            <w:shd w:val="clear" w:color="000000" w:fill="92D050"/>
            <w:noWrap/>
            <w:vAlign w:val="center"/>
            <w:hideMark/>
          </w:tcPr>
          <w:p w14:paraId="442FD416"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98,93%</w:t>
            </w:r>
          </w:p>
        </w:tc>
        <w:tc>
          <w:tcPr>
            <w:tcW w:w="1363" w:type="dxa"/>
            <w:tcBorders>
              <w:top w:val="nil"/>
              <w:left w:val="nil"/>
              <w:bottom w:val="single" w:sz="8" w:space="0" w:color="A9D08E"/>
              <w:right w:val="nil"/>
            </w:tcBorders>
            <w:shd w:val="clear" w:color="000000" w:fill="FFFF00"/>
            <w:noWrap/>
            <w:vAlign w:val="center"/>
            <w:hideMark/>
          </w:tcPr>
          <w:p w14:paraId="79E82C3A"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78,73%</w:t>
            </w:r>
          </w:p>
        </w:tc>
        <w:tc>
          <w:tcPr>
            <w:tcW w:w="1420" w:type="dxa"/>
            <w:tcBorders>
              <w:top w:val="nil"/>
              <w:left w:val="nil"/>
              <w:bottom w:val="single" w:sz="8" w:space="0" w:color="A9D08E"/>
              <w:right w:val="nil"/>
            </w:tcBorders>
            <w:shd w:val="clear" w:color="000000" w:fill="FFFF00"/>
            <w:noWrap/>
            <w:vAlign w:val="center"/>
            <w:hideMark/>
          </w:tcPr>
          <w:p w14:paraId="5AF59DE9"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32,29%</w:t>
            </w:r>
          </w:p>
        </w:tc>
        <w:tc>
          <w:tcPr>
            <w:tcW w:w="1660" w:type="dxa"/>
            <w:tcBorders>
              <w:top w:val="nil"/>
              <w:left w:val="nil"/>
              <w:bottom w:val="single" w:sz="8" w:space="0" w:color="A9D08E"/>
              <w:right w:val="nil"/>
            </w:tcBorders>
            <w:shd w:val="clear" w:color="000000" w:fill="FFFF00"/>
            <w:noWrap/>
            <w:vAlign w:val="center"/>
            <w:hideMark/>
          </w:tcPr>
          <w:p w14:paraId="1BB7E2C4" w14:textId="77777777" w:rsidR="00AD258A" w:rsidRPr="00EA348F" w:rsidRDefault="00AD258A" w:rsidP="00AD258A">
            <w:pPr>
              <w:spacing w:before="0" w:beforeAutospacing="0" w:after="0" w:afterAutospacing="0" w:line="240" w:lineRule="auto"/>
              <w:ind w:firstLine="0"/>
              <w:jc w:val="right"/>
              <w:rPr>
                <w:color w:val="000000"/>
                <w:sz w:val="22"/>
                <w:lang w:eastAsia="es-CO"/>
              </w:rPr>
            </w:pPr>
            <w:r w:rsidRPr="00272793">
              <w:rPr>
                <w:color w:val="000000"/>
                <w:sz w:val="22"/>
                <w:lang w:eastAsia="es-CO"/>
              </w:rPr>
              <w:t>25,70%</w:t>
            </w:r>
          </w:p>
        </w:tc>
      </w:tr>
    </w:tbl>
    <w:p w14:paraId="428D853E" w14:textId="46B469BD" w:rsidR="00214B39" w:rsidRPr="00042F25" w:rsidRDefault="00AD258A" w:rsidP="00EA348F">
      <w:pPr>
        <w:pStyle w:val="Descripcin"/>
        <w:spacing w:before="0" w:beforeAutospacing="0"/>
        <w:jc w:val="left"/>
      </w:pPr>
      <w:r w:rsidRPr="00042F25">
        <w:rPr>
          <w:sz w:val="20"/>
        </w:rPr>
        <w:t>Fonte: SNIS 2015. Elaborado por: GO Associados</w:t>
      </w:r>
    </w:p>
    <w:p w14:paraId="720FF2CF" w14:textId="61D541EE" w:rsidR="00A0511A" w:rsidRPr="00455ABB" w:rsidRDefault="00A0511A" w:rsidP="00A0511A">
      <w:pPr>
        <w:rPr>
          <w:lang w:val="pt-PT"/>
        </w:rPr>
      </w:pPr>
      <w:r w:rsidRPr="00455ABB">
        <w:rPr>
          <w:lang w:val="pt-PT"/>
        </w:rPr>
        <w:t xml:space="preserve">Feita a apresentação do ranking, seguirá a demonstração da evolução </w:t>
      </w:r>
      <w:r>
        <w:rPr>
          <w:lang w:val="pt-PT"/>
        </w:rPr>
        <w:t>de cada um dos indicadores para o periodo</w:t>
      </w:r>
      <w:r w:rsidRPr="00455ABB">
        <w:rPr>
          <w:lang w:val="pt-PT"/>
        </w:rPr>
        <w:t xml:space="preserve"> </w:t>
      </w:r>
      <w:r>
        <w:rPr>
          <w:lang w:val="pt-PT"/>
        </w:rPr>
        <w:t xml:space="preserve">2010 - 2015 nos Quadro 10 ate o Quadro 15. </w:t>
      </w:r>
    </w:p>
    <w:p w14:paraId="484AB768" w14:textId="77777777" w:rsidR="00B352AB" w:rsidRPr="00EA348F" w:rsidRDefault="00B352AB" w:rsidP="00B352AB">
      <w:pPr>
        <w:rPr>
          <w:lang w:val="pt-PT"/>
        </w:rPr>
      </w:pPr>
    </w:p>
    <w:p w14:paraId="756ADCE8" w14:textId="574000FD" w:rsidR="00B352AB" w:rsidRPr="00042F25" w:rsidRDefault="00B352AB" w:rsidP="00C71C89">
      <w:pPr>
        <w:pStyle w:val="Ttulo2"/>
        <w:ind w:left="1427"/>
      </w:pPr>
      <w:bookmarkStart w:id="19" w:name="_Toc493094924"/>
      <w:r w:rsidRPr="00042F25">
        <w:lastRenderedPageBreak/>
        <w:t>Índice de coleta de esgoto</w:t>
      </w:r>
      <w:bookmarkEnd w:id="19"/>
    </w:p>
    <w:p w14:paraId="1FA99F1A" w14:textId="33BC81D5" w:rsidR="00B352AB" w:rsidRPr="00042F25" w:rsidRDefault="00B352AB" w:rsidP="00B352AB">
      <w:r w:rsidRPr="00042F25">
        <w:t xml:space="preserve">O índice de </w:t>
      </w:r>
      <w:r w:rsidR="000D4666" w:rsidRPr="00042F25">
        <w:t>coleta de esgoto (IN015</w:t>
      </w:r>
      <w:r w:rsidRPr="00042F25">
        <w:t>)</w:t>
      </w:r>
      <w:r w:rsidR="00841C1A" w:rsidRPr="00042F25">
        <w:t xml:space="preserve">, expresso em </w:t>
      </w:r>
      <w:r w:rsidR="00AD258A">
        <w:t>percentagem</w:t>
      </w:r>
      <w:r w:rsidR="00841C1A" w:rsidRPr="00042F25">
        <w:t>, usa o volume de água consumido</w:t>
      </w:r>
      <w:r w:rsidRPr="00042F25">
        <w:t xml:space="preserve"> (AG0</w:t>
      </w:r>
      <w:r w:rsidR="00841C1A" w:rsidRPr="00042F25">
        <w:t>10</w:t>
      </w:r>
      <w:r w:rsidRPr="00042F25">
        <w:t xml:space="preserve">), </w:t>
      </w:r>
      <w:r w:rsidR="00841C1A" w:rsidRPr="00042F25">
        <w:t>o volume de água tratada exportado</w:t>
      </w:r>
      <w:r w:rsidRPr="00042F25">
        <w:t xml:space="preserve"> (</w:t>
      </w:r>
      <w:r w:rsidR="00841C1A" w:rsidRPr="00042F25">
        <w:t>AG019) e o volume de esgotos coletado</w:t>
      </w:r>
      <w:r w:rsidRPr="00042F25">
        <w:t xml:space="preserve"> (</w:t>
      </w:r>
      <w:r w:rsidR="00841C1A" w:rsidRPr="00042F25">
        <w:t>ES005</w:t>
      </w:r>
      <w:r w:rsidRPr="00042F25">
        <w:t xml:space="preserve">) para o seu cálculo: </w:t>
      </w:r>
    </w:p>
    <w:p w14:paraId="494974CC" w14:textId="2F79DE4D" w:rsidR="00B352AB" w:rsidRPr="00042F25" w:rsidRDefault="00B352AB" w:rsidP="00114CDA">
      <w:pPr>
        <w:jc w:val="center"/>
      </w:pPr>
      <m:oMathPara>
        <m:oMath>
          <m:r>
            <w:rPr>
              <w:rFonts w:ascii="Cambria Math" w:hAnsi="Cambria Math"/>
            </w:rPr>
            <m:t xml:space="preserve">IN015= </m:t>
          </m:r>
          <m:f>
            <m:fPr>
              <m:ctrlPr>
                <w:rPr>
                  <w:rFonts w:ascii="Cambria Math" w:hAnsi="Cambria Math"/>
                  <w:i/>
                </w:rPr>
              </m:ctrlPr>
            </m:fPr>
            <m:num>
              <m:r>
                <w:rPr>
                  <w:rFonts w:ascii="Cambria Math" w:hAnsi="Cambria Math"/>
                </w:rPr>
                <m:t>ES005</m:t>
              </m:r>
            </m:num>
            <m:den>
              <m:r>
                <w:rPr>
                  <w:rFonts w:ascii="Cambria Math" w:hAnsi="Cambria Math"/>
                </w:rPr>
                <m:t>AG010-AG019</m:t>
              </m:r>
            </m:den>
          </m:f>
          <m:r>
            <w:rPr>
              <w:rFonts w:ascii="Cambria Math" w:hAnsi="Cambria Math"/>
            </w:rPr>
            <m:t>*100</m:t>
          </m:r>
        </m:oMath>
      </m:oMathPara>
    </w:p>
    <w:p w14:paraId="22129379" w14:textId="612C3774" w:rsidR="00B352AB" w:rsidRPr="00042F25" w:rsidRDefault="000B312F" w:rsidP="000B312F">
      <w:pPr>
        <w:ind w:right="-1"/>
        <w:rPr>
          <w:szCs w:val="24"/>
          <w:shd w:val="clear" w:color="auto" w:fill="FFFFFF"/>
        </w:rPr>
      </w:pPr>
      <w:r w:rsidRPr="00042F25">
        <w:t>O sistema de coleta de esgoto é um dos fatores mais importantes para a saúde pública,</w:t>
      </w:r>
      <w:r w:rsidRPr="00042F25">
        <w:rPr>
          <w:szCs w:val="24"/>
          <w:shd w:val="clear" w:color="auto" w:fill="FFFFFF"/>
        </w:rPr>
        <w:t xml:space="preserve"> evitando o </w:t>
      </w:r>
      <w:r w:rsidR="00AD258A">
        <w:rPr>
          <w:szCs w:val="24"/>
          <w:shd w:val="clear" w:color="auto" w:fill="FFFFFF"/>
        </w:rPr>
        <w:t>vertimento</w:t>
      </w:r>
      <w:r w:rsidRPr="00042F25">
        <w:rPr>
          <w:szCs w:val="24"/>
          <w:shd w:val="clear" w:color="auto" w:fill="FFFFFF"/>
        </w:rPr>
        <w:t xml:space="preserve"> de esgoto de forma inadequada no meio ambiente.</w:t>
      </w:r>
      <w:r w:rsidR="00416668">
        <w:rPr>
          <w:szCs w:val="24"/>
          <w:shd w:val="clear" w:color="auto" w:fill="FFFFFF"/>
        </w:rPr>
        <w:t xml:space="preserve"> </w:t>
      </w:r>
      <w:r w:rsidR="00416668" w:rsidRPr="00EA348F">
        <w:rPr>
          <w:szCs w:val="24"/>
          <w:shd w:val="clear" w:color="auto" w:fill="FFFFFF"/>
        </w:rPr>
        <w:t xml:space="preserve">Este índice serve para avaliar </w:t>
      </w:r>
      <w:r w:rsidR="001D1F63">
        <w:rPr>
          <w:szCs w:val="24"/>
          <w:shd w:val="clear" w:color="auto" w:fill="FFFFFF"/>
        </w:rPr>
        <w:t xml:space="preserve">quanto do </w:t>
      </w:r>
      <w:r w:rsidR="00416668" w:rsidRPr="00EA348F">
        <w:rPr>
          <w:szCs w:val="24"/>
          <w:shd w:val="clear" w:color="auto" w:fill="FFFFFF"/>
        </w:rPr>
        <w:t xml:space="preserve">esgoto não é </w:t>
      </w:r>
      <w:r w:rsidR="001D1F63">
        <w:rPr>
          <w:szCs w:val="24"/>
          <w:shd w:val="clear" w:color="auto" w:fill="FFFFFF"/>
        </w:rPr>
        <w:t>coletado</w:t>
      </w:r>
      <w:r w:rsidR="0060248C" w:rsidRPr="00272793">
        <w:rPr>
          <w:szCs w:val="24"/>
          <w:shd w:val="clear" w:color="auto" w:fill="FFFFFF"/>
        </w:rPr>
        <w:t>.</w:t>
      </w:r>
      <w:r w:rsidR="001D1F63">
        <w:rPr>
          <w:szCs w:val="24"/>
          <w:shd w:val="clear" w:color="auto" w:fill="FFFFFF"/>
        </w:rPr>
        <w:t xml:space="preserve"> A média de tratamento de esgoto da amostra de empresas </w:t>
      </w:r>
      <w:r w:rsidR="00FE6784">
        <w:rPr>
          <w:szCs w:val="24"/>
          <w:shd w:val="clear" w:color="auto" w:fill="FFFFFF"/>
        </w:rPr>
        <w:t>foi 34</w:t>
      </w:r>
      <w:r w:rsidR="001D1F63">
        <w:rPr>
          <w:szCs w:val="24"/>
          <w:shd w:val="clear" w:color="auto" w:fill="FFFFFF"/>
        </w:rPr>
        <w:t>,7% em 2015.</w:t>
      </w:r>
    </w:p>
    <w:p w14:paraId="77541900" w14:textId="4FE929D2" w:rsidR="00117BE1" w:rsidRDefault="00117BE1" w:rsidP="00117BE1">
      <w:pPr>
        <w:pStyle w:val="Descripcin"/>
      </w:pPr>
      <w:r w:rsidRPr="00042F25">
        <w:t xml:space="preserve">Quadro </w:t>
      </w:r>
      <w:fldSimple w:instr=" SEQ Quadro \* ARABIC ">
        <w:r w:rsidR="00B64D1C" w:rsidRPr="00042F25">
          <w:rPr>
            <w:noProof/>
          </w:rPr>
          <w:t>10</w:t>
        </w:r>
      </w:fldSimple>
      <w:r w:rsidRPr="00042F25">
        <w:t xml:space="preserve"> – Índice de Coleta de Esgoto (IN015)</w:t>
      </w:r>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1D1F63" w:rsidRPr="001D1F63" w14:paraId="292D0CA5"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1818254" w14:textId="77777777" w:rsidR="001D1F63" w:rsidRPr="00EA348F" w:rsidRDefault="001D1F63" w:rsidP="001D1F63">
            <w:pPr>
              <w:spacing w:before="0" w:beforeAutospacing="0" w:after="0" w:afterAutospacing="0" w:line="240" w:lineRule="auto"/>
              <w:ind w:firstLine="0"/>
              <w:jc w:val="left"/>
              <w:rPr>
                <w:color w:val="FFFFFF"/>
                <w:sz w:val="22"/>
                <w:lang w:eastAsia="es-CO"/>
              </w:rPr>
            </w:pPr>
            <w:r w:rsidRPr="00272793">
              <w:rPr>
                <w:color w:val="FFFFFF"/>
                <w:sz w:val="22"/>
                <w:lang w:eastAsia="es-CO"/>
              </w:rPr>
              <w:t>Empresa</w:t>
            </w:r>
          </w:p>
        </w:tc>
        <w:tc>
          <w:tcPr>
            <w:tcW w:w="1248" w:type="dxa"/>
            <w:hideMark/>
          </w:tcPr>
          <w:p w14:paraId="20719E98" w14:textId="77777777" w:rsidR="001D1F63" w:rsidRPr="00EA348F"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2010</w:t>
            </w:r>
          </w:p>
        </w:tc>
        <w:tc>
          <w:tcPr>
            <w:tcW w:w="1249" w:type="dxa"/>
            <w:hideMark/>
          </w:tcPr>
          <w:p w14:paraId="41DDEB09" w14:textId="77777777" w:rsidR="001D1F63" w:rsidRPr="00EA348F"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2011</w:t>
            </w:r>
          </w:p>
        </w:tc>
        <w:tc>
          <w:tcPr>
            <w:tcW w:w="1249" w:type="dxa"/>
            <w:hideMark/>
          </w:tcPr>
          <w:p w14:paraId="798E8C7C" w14:textId="77777777" w:rsidR="001D1F63" w:rsidRPr="00EA348F"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2012</w:t>
            </w:r>
          </w:p>
        </w:tc>
        <w:tc>
          <w:tcPr>
            <w:tcW w:w="1178" w:type="dxa"/>
            <w:hideMark/>
          </w:tcPr>
          <w:p w14:paraId="6CB0778A" w14:textId="77777777" w:rsidR="001D1F63" w:rsidRPr="00EA348F"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2013</w:t>
            </w:r>
          </w:p>
        </w:tc>
        <w:tc>
          <w:tcPr>
            <w:tcW w:w="1093" w:type="dxa"/>
            <w:hideMark/>
          </w:tcPr>
          <w:p w14:paraId="48E6EB22" w14:textId="77777777" w:rsidR="001D1F63" w:rsidRPr="00EA348F"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2014</w:t>
            </w:r>
          </w:p>
        </w:tc>
        <w:tc>
          <w:tcPr>
            <w:tcW w:w="990" w:type="dxa"/>
            <w:hideMark/>
          </w:tcPr>
          <w:p w14:paraId="5DD756E2" w14:textId="77777777" w:rsidR="001D1F63" w:rsidRPr="00EA348F"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eastAsia="es-CO"/>
              </w:rPr>
            </w:pPr>
            <w:r w:rsidRPr="00272793">
              <w:rPr>
                <w:color w:val="FFFFFF"/>
                <w:sz w:val="22"/>
                <w:lang w:eastAsia="es-CO"/>
              </w:rPr>
              <w:t>2015</w:t>
            </w:r>
          </w:p>
        </w:tc>
      </w:tr>
      <w:tr w:rsidR="001D1F63" w:rsidRPr="001D1F63" w14:paraId="36D82FA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04AE90A"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Agespisa</w:t>
            </w:r>
          </w:p>
        </w:tc>
        <w:tc>
          <w:tcPr>
            <w:tcW w:w="1248" w:type="dxa"/>
            <w:hideMark/>
          </w:tcPr>
          <w:p w14:paraId="14DAE8F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7,03%</w:t>
            </w:r>
          </w:p>
        </w:tc>
        <w:tc>
          <w:tcPr>
            <w:tcW w:w="1249" w:type="dxa"/>
            <w:hideMark/>
          </w:tcPr>
          <w:p w14:paraId="2D283EB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9,59%</w:t>
            </w:r>
          </w:p>
        </w:tc>
        <w:tc>
          <w:tcPr>
            <w:tcW w:w="1249" w:type="dxa"/>
            <w:hideMark/>
          </w:tcPr>
          <w:p w14:paraId="7BFBF841"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8,93%</w:t>
            </w:r>
          </w:p>
        </w:tc>
        <w:tc>
          <w:tcPr>
            <w:tcW w:w="1178" w:type="dxa"/>
            <w:hideMark/>
          </w:tcPr>
          <w:p w14:paraId="0C6FD1C6"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8,35%</w:t>
            </w:r>
          </w:p>
        </w:tc>
        <w:tc>
          <w:tcPr>
            <w:tcW w:w="1093" w:type="dxa"/>
            <w:hideMark/>
          </w:tcPr>
          <w:p w14:paraId="38CF4BA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9,62%</w:t>
            </w:r>
          </w:p>
        </w:tc>
        <w:tc>
          <w:tcPr>
            <w:tcW w:w="990" w:type="dxa"/>
            <w:hideMark/>
          </w:tcPr>
          <w:p w14:paraId="039644C0"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9,62%</w:t>
            </w:r>
          </w:p>
        </w:tc>
      </w:tr>
      <w:tr w:rsidR="001D1F63" w:rsidRPr="001D1F63" w14:paraId="1CEEDF6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EA7D79B"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Caema</w:t>
            </w:r>
          </w:p>
        </w:tc>
        <w:tc>
          <w:tcPr>
            <w:tcW w:w="1248" w:type="dxa"/>
            <w:hideMark/>
          </w:tcPr>
          <w:p w14:paraId="28071DEA"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47,35%</w:t>
            </w:r>
          </w:p>
        </w:tc>
        <w:tc>
          <w:tcPr>
            <w:tcW w:w="1249" w:type="dxa"/>
            <w:hideMark/>
          </w:tcPr>
          <w:p w14:paraId="34137439"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35,20%</w:t>
            </w:r>
          </w:p>
        </w:tc>
        <w:tc>
          <w:tcPr>
            <w:tcW w:w="1249" w:type="dxa"/>
            <w:hideMark/>
          </w:tcPr>
          <w:p w14:paraId="695E7CD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26,31%</w:t>
            </w:r>
          </w:p>
        </w:tc>
        <w:tc>
          <w:tcPr>
            <w:tcW w:w="1178" w:type="dxa"/>
            <w:hideMark/>
          </w:tcPr>
          <w:p w14:paraId="68E8C8B4"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27,85%</w:t>
            </w:r>
          </w:p>
        </w:tc>
        <w:tc>
          <w:tcPr>
            <w:tcW w:w="1093" w:type="dxa"/>
            <w:hideMark/>
          </w:tcPr>
          <w:p w14:paraId="456897DA"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36,16%</w:t>
            </w:r>
          </w:p>
        </w:tc>
        <w:tc>
          <w:tcPr>
            <w:tcW w:w="990" w:type="dxa"/>
            <w:hideMark/>
          </w:tcPr>
          <w:p w14:paraId="589666B4"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32,63%</w:t>
            </w:r>
          </w:p>
        </w:tc>
      </w:tr>
      <w:tr w:rsidR="001D1F63" w:rsidRPr="001D1F63" w14:paraId="581DA76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2FE6936"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Caer</w:t>
            </w:r>
          </w:p>
        </w:tc>
        <w:tc>
          <w:tcPr>
            <w:tcW w:w="1248" w:type="dxa"/>
            <w:hideMark/>
          </w:tcPr>
          <w:p w14:paraId="451705D2"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18,57%</w:t>
            </w:r>
          </w:p>
        </w:tc>
        <w:tc>
          <w:tcPr>
            <w:tcW w:w="1249" w:type="dxa"/>
            <w:hideMark/>
          </w:tcPr>
          <w:p w14:paraId="1F4734E3"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19,72%</w:t>
            </w:r>
          </w:p>
        </w:tc>
        <w:tc>
          <w:tcPr>
            <w:tcW w:w="1249" w:type="dxa"/>
            <w:hideMark/>
          </w:tcPr>
          <w:p w14:paraId="09C4BC03"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39,60%</w:t>
            </w:r>
          </w:p>
        </w:tc>
        <w:tc>
          <w:tcPr>
            <w:tcW w:w="1178" w:type="dxa"/>
            <w:hideMark/>
          </w:tcPr>
          <w:p w14:paraId="5B6D86D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44,55%</w:t>
            </w:r>
          </w:p>
        </w:tc>
        <w:tc>
          <w:tcPr>
            <w:tcW w:w="1093" w:type="dxa"/>
            <w:hideMark/>
          </w:tcPr>
          <w:p w14:paraId="13DBF34E"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31,20%</w:t>
            </w:r>
          </w:p>
        </w:tc>
        <w:tc>
          <w:tcPr>
            <w:tcW w:w="990" w:type="dxa"/>
            <w:hideMark/>
          </w:tcPr>
          <w:p w14:paraId="7811A617"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57,75%</w:t>
            </w:r>
          </w:p>
        </w:tc>
      </w:tr>
      <w:tr w:rsidR="001D1F63" w:rsidRPr="001D1F63" w14:paraId="071856F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4AB2B27"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Caerd</w:t>
            </w:r>
          </w:p>
        </w:tc>
        <w:tc>
          <w:tcPr>
            <w:tcW w:w="1248" w:type="dxa"/>
            <w:hideMark/>
          </w:tcPr>
          <w:p w14:paraId="35A334C3"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3,97%</w:t>
            </w:r>
          </w:p>
        </w:tc>
        <w:tc>
          <w:tcPr>
            <w:tcW w:w="1249" w:type="dxa"/>
            <w:hideMark/>
          </w:tcPr>
          <w:p w14:paraId="512BDC2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3,82%</w:t>
            </w:r>
          </w:p>
        </w:tc>
        <w:tc>
          <w:tcPr>
            <w:tcW w:w="1249" w:type="dxa"/>
            <w:hideMark/>
          </w:tcPr>
          <w:p w14:paraId="1AA9B0A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4,19%</w:t>
            </w:r>
          </w:p>
        </w:tc>
        <w:tc>
          <w:tcPr>
            <w:tcW w:w="1178" w:type="dxa"/>
            <w:hideMark/>
          </w:tcPr>
          <w:p w14:paraId="7AEB4431"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4,13%</w:t>
            </w:r>
          </w:p>
        </w:tc>
        <w:tc>
          <w:tcPr>
            <w:tcW w:w="1093" w:type="dxa"/>
            <w:hideMark/>
          </w:tcPr>
          <w:p w14:paraId="2EA4153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4,11%</w:t>
            </w:r>
          </w:p>
        </w:tc>
        <w:tc>
          <w:tcPr>
            <w:tcW w:w="990" w:type="dxa"/>
            <w:hideMark/>
          </w:tcPr>
          <w:p w14:paraId="67CEE44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3,34%</w:t>
            </w:r>
          </w:p>
        </w:tc>
      </w:tr>
      <w:tr w:rsidR="001D1F63" w:rsidRPr="001D1F63" w14:paraId="2A4C86F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BCC9C57"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Caern</w:t>
            </w:r>
          </w:p>
        </w:tc>
        <w:tc>
          <w:tcPr>
            <w:tcW w:w="1248" w:type="dxa"/>
            <w:hideMark/>
          </w:tcPr>
          <w:p w14:paraId="03969D4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23,69%</w:t>
            </w:r>
          </w:p>
        </w:tc>
        <w:tc>
          <w:tcPr>
            <w:tcW w:w="1249" w:type="dxa"/>
            <w:hideMark/>
          </w:tcPr>
          <w:p w14:paraId="441DA22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32,90%</w:t>
            </w:r>
          </w:p>
        </w:tc>
        <w:tc>
          <w:tcPr>
            <w:tcW w:w="1249" w:type="dxa"/>
            <w:hideMark/>
          </w:tcPr>
          <w:p w14:paraId="3FE2DD2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23,57%</w:t>
            </w:r>
          </w:p>
        </w:tc>
        <w:tc>
          <w:tcPr>
            <w:tcW w:w="1178" w:type="dxa"/>
            <w:hideMark/>
          </w:tcPr>
          <w:p w14:paraId="7D4B0E56"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23,94%</w:t>
            </w:r>
          </w:p>
        </w:tc>
        <w:tc>
          <w:tcPr>
            <w:tcW w:w="1093" w:type="dxa"/>
            <w:hideMark/>
          </w:tcPr>
          <w:p w14:paraId="4371EC0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23,37%</w:t>
            </w:r>
          </w:p>
        </w:tc>
        <w:tc>
          <w:tcPr>
            <w:tcW w:w="990" w:type="dxa"/>
            <w:hideMark/>
          </w:tcPr>
          <w:p w14:paraId="0478D33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24,78%</w:t>
            </w:r>
          </w:p>
        </w:tc>
      </w:tr>
      <w:tr w:rsidR="001D1F63" w:rsidRPr="001D1F63" w14:paraId="5F8E838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4E21688"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Caesa</w:t>
            </w:r>
          </w:p>
        </w:tc>
        <w:tc>
          <w:tcPr>
            <w:tcW w:w="1248" w:type="dxa"/>
            <w:hideMark/>
          </w:tcPr>
          <w:p w14:paraId="00873BB9"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0,00%</w:t>
            </w:r>
          </w:p>
        </w:tc>
        <w:tc>
          <w:tcPr>
            <w:tcW w:w="1249" w:type="dxa"/>
            <w:hideMark/>
          </w:tcPr>
          <w:p w14:paraId="5F0AD34A"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12,18%</w:t>
            </w:r>
          </w:p>
        </w:tc>
        <w:tc>
          <w:tcPr>
            <w:tcW w:w="1249" w:type="dxa"/>
            <w:hideMark/>
          </w:tcPr>
          <w:p w14:paraId="3D58A8B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13,03%</w:t>
            </w:r>
          </w:p>
        </w:tc>
        <w:tc>
          <w:tcPr>
            <w:tcW w:w="1178" w:type="dxa"/>
            <w:hideMark/>
          </w:tcPr>
          <w:p w14:paraId="0D4DF3F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6,07%</w:t>
            </w:r>
          </w:p>
        </w:tc>
        <w:tc>
          <w:tcPr>
            <w:tcW w:w="1093" w:type="dxa"/>
            <w:hideMark/>
          </w:tcPr>
          <w:p w14:paraId="0295F38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6,65%</w:t>
            </w:r>
          </w:p>
        </w:tc>
        <w:tc>
          <w:tcPr>
            <w:tcW w:w="990" w:type="dxa"/>
            <w:hideMark/>
          </w:tcPr>
          <w:p w14:paraId="4DAC2183"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14,14%</w:t>
            </w:r>
          </w:p>
        </w:tc>
      </w:tr>
      <w:tr w:rsidR="001D1F63" w:rsidRPr="001D1F63" w14:paraId="06008B2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958697E"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Caesb</w:t>
            </w:r>
          </w:p>
        </w:tc>
        <w:tc>
          <w:tcPr>
            <w:tcW w:w="1248" w:type="dxa"/>
            <w:hideMark/>
          </w:tcPr>
          <w:p w14:paraId="4FD4015B"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64,36%</w:t>
            </w:r>
          </w:p>
        </w:tc>
        <w:tc>
          <w:tcPr>
            <w:tcW w:w="1249" w:type="dxa"/>
            <w:hideMark/>
          </w:tcPr>
          <w:p w14:paraId="1344E032"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65,57%</w:t>
            </w:r>
          </w:p>
        </w:tc>
        <w:tc>
          <w:tcPr>
            <w:tcW w:w="1249" w:type="dxa"/>
            <w:hideMark/>
          </w:tcPr>
          <w:p w14:paraId="5459935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66,42%</w:t>
            </w:r>
          </w:p>
        </w:tc>
        <w:tc>
          <w:tcPr>
            <w:tcW w:w="1178" w:type="dxa"/>
            <w:hideMark/>
          </w:tcPr>
          <w:p w14:paraId="0B772F47"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66,13%</w:t>
            </w:r>
          </w:p>
        </w:tc>
        <w:tc>
          <w:tcPr>
            <w:tcW w:w="1093" w:type="dxa"/>
            <w:hideMark/>
          </w:tcPr>
          <w:p w14:paraId="765D7E1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70,61%</w:t>
            </w:r>
          </w:p>
        </w:tc>
        <w:tc>
          <w:tcPr>
            <w:tcW w:w="990" w:type="dxa"/>
            <w:hideMark/>
          </w:tcPr>
          <w:p w14:paraId="7BBC6877"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82,17%</w:t>
            </w:r>
          </w:p>
        </w:tc>
      </w:tr>
      <w:tr w:rsidR="001D1F63" w:rsidRPr="001D1F63" w14:paraId="785F158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DE71CA0"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Cagece</w:t>
            </w:r>
          </w:p>
        </w:tc>
        <w:tc>
          <w:tcPr>
            <w:tcW w:w="1248" w:type="dxa"/>
            <w:hideMark/>
          </w:tcPr>
          <w:p w14:paraId="06420E94"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46,38%</w:t>
            </w:r>
          </w:p>
        </w:tc>
        <w:tc>
          <w:tcPr>
            <w:tcW w:w="1249" w:type="dxa"/>
            <w:hideMark/>
          </w:tcPr>
          <w:p w14:paraId="2F35FF2F"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34,54%</w:t>
            </w:r>
          </w:p>
        </w:tc>
        <w:tc>
          <w:tcPr>
            <w:tcW w:w="1249" w:type="dxa"/>
            <w:hideMark/>
          </w:tcPr>
          <w:p w14:paraId="458B897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33,88%</w:t>
            </w:r>
          </w:p>
        </w:tc>
        <w:tc>
          <w:tcPr>
            <w:tcW w:w="1178" w:type="dxa"/>
            <w:hideMark/>
          </w:tcPr>
          <w:p w14:paraId="15264AF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35,66%</w:t>
            </w:r>
          </w:p>
        </w:tc>
        <w:tc>
          <w:tcPr>
            <w:tcW w:w="1093" w:type="dxa"/>
            <w:hideMark/>
          </w:tcPr>
          <w:p w14:paraId="7916B54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36,99%</w:t>
            </w:r>
          </w:p>
        </w:tc>
        <w:tc>
          <w:tcPr>
            <w:tcW w:w="990" w:type="dxa"/>
            <w:hideMark/>
          </w:tcPr>
          <w:p w14:paraId="7736476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37,69%</w:t>
            </w:r>
          </w:p>
        </w:tc>
      </w:tr>
      <w:tr w:rsidR="001D1F63" w:rsidRPr="001D1F63" w14:paraId="6E8D3F0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2CAFD9E"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Cagepa</w:t>
            </w:r>
          </w:p>
        </w:tc>
        <w:tc>
          <w:tcPr>
            <w:tcW w:w="1248" w:type="dxa"/>
            <w:hideMark/>
          </w:tcPr>
          <w:p w14:paraId="70707B2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42,01%</w:t>
            </w:r>
          </w:p>
        </w:tc>
        <w:tc>
          <w:tcPr>
            <w:tcW w:w="1249" w:type="dxa"/>
            <w:hideMark/>
          </w:tcPr>
          <w:p w14:paraId="26325307"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34,27%</w:t>
            </w:r>
          </w:p>
        </w:tc>
        <w:tc>
          <w:tcPr>
            <w:tcW w:w="1249" w:type="dxa"/>
            <w:hideMark/>
          </w:tcPr>
          <w:p w14:paraId="73A7F9B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40,42%</w:t>
            </w:r>
          </w:p>
        </w:tc>
        <w:tc>
          <w:tcPr>
            <w:tcW w:w="1178" w:type="dxa"/>
            <w:hideMark/>
          </w:tcPr>
          <w:p w14:paraId="0E251C2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35,96%</w:t>
            </w:r>
          </w:p>
        </w:tc>
        <w:tc>
          <w:tcPr>
            <w:tcW w:w="1093" w:type="dxa"/>
            <w:hideMark/>
          </w:tcPr>
          <w:p w14:paraId="40B60977"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45,67%</w:t>
            </w:r>
          </w:p>
        </w:tc>
        <w:tc>
          <w:tcPr>
            <w:tcW w:w="990" w:type="dxa"/>
            <w:hideMark/>
          </w:tcPr>
          <w:p w14:paraId="2295F964"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53,20%</w:t>
            </w:r>
          </w:p>
        </w:tc>
      </w:tr>
      <w:tr w:rsidR="001D1F63" w:rsidRPr="001D1F63" w14:paraId="187CE73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B7D73F"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Casal</w:t>
            </w:r>
          </w:p>
        </w:tc>
        <w:tc>
          <w:tcPr>
            <w:tcW w:w="1248" w:type="dxa"/>
            <w:hideMark/>
          </w:tcPr>
          <w:p w14:paraId="16C94E5A"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28,99%</w:t>
            </w:r>
          </w:p>
        </w:tc>
        <w:tc>
          <w:tcPr>
            <w:tcW w:w="1249" w:type="dxa"/>
            <w:hideMark/>
          </w:tcPr>
          <w:p w14:paraId="43CF8A9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29,99%</w:t>
            </w:r>
          </w:p>
        </w:tc>
        <w:tc>
          <w:tcPr>
            <w:tcW w:w="1249" w:type="dxa"/>
            <w:hideMark/>
          </w:tcPr>
          <w:p w14:paraId="0C04B00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27,15%</w:t>
            </w:r>
          </w:p>
        </w:tc>
        <w:tc>
          <w:tcPr>
            <w:tcW w:w="1178" w:type="dxa"/>
            <w:hideMark/>
          </w:tcPr>
          <w:p w14:paraId="2AE1C8F9"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21,14%</w:t>
            </w:r>
          </w:p>
        </w:tc>
        <w:tc>
          <w:tcPr>
            <w:tcW w:w="1093" w:type="dxa"/>
            <w:hideMark/>
          </w:tcPr>
          <w:p w14:paraId="32E7B66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19,48%</w:t>
            </w:r>
          </w:p>
        </w:tc>
        <w:tc>
          <w:tcPr>
            <w:tcW w:w="990" w:type="dxa"/>
            <w:hideMark/>
          </w:tcPr>
          <w:p w14:paraId="7E4E2F63"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18,77%</w:t>
            </w:r>
          </w:p>
        </w:tc>
      </w:tr>
      <w:tr w:rsidR="001D1F63" w:rsidRPr="001D1F63" w14:paraId="3E2F708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ABF2BBC"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Casan</w:t>
            </w:r>
          </w:p>
        </w:tc>
        <w:tc>
          <w:tcPr>
            <w:tcW w:w="1248" w:type="dxa"/>
            <w:hideMark/>
          </w:tcPr>
          <w:p w14:paraId="62FD7D5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15,23%</w:t>
            </w:r>
          </w:p>
        </w:tc>
        <w:tc>
          <w:tcPr>
            <w:tcW w:w="1249" w:type="dxa"/>
            <w:hideMark/>
          </w:tcPr>
          <w:p w14:paraId="31BEA60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17,48%</w:t>
            </w:r>
          </w:p>
        </w:tc>
        <w:tc>
          <w:tcPr>
            <w:tcW w:w="1249" w:type="dxa"/>
            <w:hideMark/>
          </w:tcPr>
          <w:p w14:paraId="79F5686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16,84%</w:t>
            </w:r>
          </w:p>
        </w:tc>
        <w:tc>
          <w:tcPr>
            <w:tcW w:w="1178" w:type="dxa"/>
            <w:hideMark/>
          </w:tcPr>
          <w:p w14:paraId="56B3719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17,30%</w:t>
            </w:r>
          </w:p>
        </w:tc>
        <w:tc>
          <w:tcPr>
            <w:tcW w:w="1093" w:type="dxa"/>
            <w:hideMark/>
          </w:tcPr>
          <w:p w14:paraId="3D1A7C6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19,86%</w:t>
            </w:r>
          </w:p>
        </w:tc>
        <w:tc>
          <w:tcPr>
            <w:tcW w:w="990" w:type="dxa"/>
            <w:hideMark/>
          </w:tcPr>
          <w:p w14:paraId="3C23A2F5"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20,39%</w:t>
            </w:r>
          </w:p>
        </w:tc>
      </w:tr>
      <w:tr w:rsidR="001D1F63" w:rsidRPr="001D1F63" w14:paraId="713C42D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CFD2850"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Cedae</w:t>
            </w:r>
          </w:p>
        </w:tc>
        <w:tc>
          <w:tcPr>
            <w:tcW w:w="1248" w:type="dxa"/>
            <w:hideMark/>
          </w:tcPr>
          <w:p w14:paraId="5700582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51,92%</w:t>
            </w:r>
          </w:p>
        </w:tc>
        <w:tc>
          <w:tcPr>
            <w:tcW w:w="1249" w:type="dxa"/>
            <w:hideMark/>
          </w:tcPr>
          <w:p w14:paraId="4342E13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50,89%</w:t>
            </w:r>
          </w:p>
        </w:tc>
        <w:tc>
          <w:tcPr>
            <w:tcW w:w="1249" w:type="dxa"/>
            <w:hideMark/>
          </w:tcPr>
          <w:p w14:paraId="77C76115"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49,72%</w:t>
            </w:r>
          </w:p>
        </w:tc>
        <w:tc>
          <w:tcPr>
            <w:tcW w:w="1178" w:type="dxa"/>
            <w:hideMark/>
          </w:tcPr>
          <w:p w14:paraId="36E45BD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48,33%</w:t>
            </w:r>
          </w:p>
        </w:tc>
        <w:tc>
          <w:tcPr>
            <w:tcW w:w="1093" w:type="dxa"/>
            <w:hideMark/>
          </w:tcPr>
          <w:p w14:paraId="71A5033A"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48,54%</w:t>
            </w:r>
          </w:p>
        </w:tc>
        <w:tc>
          <w:tcPr>
            <w:tcW w:w="990" w:type="dxa"/>
            <w:hideMark/>
          </w:tcPr>
          <w:p w14:paraId="6279AF05"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46,13%</w:t>
            </w:r>
          </w:p>
        </w:tc>
      </w:tr>
      <w:tr w:rsidR="001D1F63" w:rsidRPr="001D1F63" w14:paraId="6A8BCE8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FDCD46D"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Cesan</w:t>
            </w:r>
          </w:p>
        </w:tc>
        <w:tc>
          <w:tcPr>
            <w:tcW w:w="1248" w:type="dxa"/>
            <w:hideMark/>
          </w:tcPr>
          <w:p w14:paraId="45CE1491"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25,97%</w:t>
            </w:r>
          </w:p>
        </w:tc>
        <w:tc>
          <w:tcPr>
            <w:tcW w:w="1249" w:type="dxa"/>
            <w:hideMark/>
          </w:tcPr>
          <w:p w14:paraId="0DF7D6A5"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27,85%</w:t>
            </w:r>
          </w:p>
        </w:tc>
        <w:tc>
          <w:tcPr>
            <w:tcW w:w="1249" w:type="dxa"/>
            <w:hideMark/>
          </w:tcPr>
          <w:p w14:paraId="77F234DB"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30,63%</w:t>
            </w:r>
          </w:p>
        </w:tc>
        <w:tc>
          <w:tcPr>
            <w:tcW w:w="1178" w:type="dxa"/>
            <w:hideMark/>
          </w:tcPr>
          <w:p w14:paraId="21E2A940"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32,26%</w:t>
            </w:r>
          </w:p>
        </w:tc>
        <w:tc>
          <w:tcPr>
            <w:tcW w:w="1093" w:type="dxa"/>
            <w:hideMark/>
          </w:tcPr>
          <w:p w14:paraId="0F83C11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33,07%</w:t>
            </w:r>
          </w:p>
        </w:tc>
        <w:tc>
          <w:tcPr>
            <w:tcW w:w="990" w:type="dxa"/>
            <w:hideMark/>
          </w:tcPr>
          <w:p w14:paraId="4C94263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34,64%</w:t>
            </w:r>
          </w:p>
        </w:tc>
      </w:tr>
      <w:tr w:rsidR="001D1F63" w:rsidRPr="001D1F63" w14:paraId="0C6F758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07FA947"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Compesa</w:t>
            </w:r>
          </w:p>
        </w:tc>
        <w:tc>
          <w:tcPr>
            <w:tcW w:w="1248" w:type="dxa"/>
            <w:hideMark/>
          </w:tcPr>
          <w:p w14:paraId="0C8DC929"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27,69%</w:t>
            </w:r>
          </w:p>
        </w:tc>
        <w:tc>
          <w:tcPr>
            <w:tcW w:w="1249" w:type="dxa"/>
            <w:hideMark/>
          </w:tcPr>
          <w:p w14:paraId="366ADE7F"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26,70%</w:t>
            </w:r>
          </w:p>
        </w:tc>
        <w:tc>
          <w:tcPr>
            <w:tcW w:w="1249" w:type="dxa"/>
            <w:hideMark/>
          </w:tcPr>
          <w:p w14:paraId="3CE6753F"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26,02%</w:t>
            </w:r>
          </w:p>
        </w:tc>
        <w:tc>
          <w:tcPr>
            <w:tcW w:w="1178" w:type="dxa"/>
            <w:hideMark/>
          </w:tcPr>
          <w:p w14:paraId="702CB3D2"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26,75%</w:t>
            </w:r>
          </w:p>
        </w:tc>
        <w:tc>
          <w:tcPr>
            <w:tcW w:w="1093" w:type="dxa"/>
            <w:hideMark/>
          </w:tcPr>
          <w:p w14:paraId="7DFB797E"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26,65%</w:t>
            </w:r>
          </w:p>
        </w:tc>
        <w:tc>
          <w:tcPr>
            <w:tcW w:w="990" w:type="dxa"/>
            <w:hideMark/>
          </w:tcPr>
          <w:p w14:paraId="3370E0DE"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27,35%</w:t>
            </w:r>
          </w:p>
        </w:tc>
      </w:tr>
      <w:tr w:rsidR="001D1F63" w:rsidRPr="001D1F63" w14:paraId="03CC114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AFB629A"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Copasa</w:t>
            </w:r>
          </w:p>
        </w:tc>
        <w:tc>
          <w:tcPr>
            <w:tcW w:w="1248" w:type="dxa"/>
            <w:hideMark/>
          </w:tcPr>
          <w:p w14:paraId="09028324"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49,15%</w:t>
            </w:r>
          </w:p>
        </w:tc>
        <w:tc>
          <w:tcPr>
            <w:tcW w:w="1249" w:type="dxa"/>
            <w:hideMark/>
          </w:tcPr>
          <w:p w14:paraId="406DC3B6"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50,39%</w:t>
            </w:r>
          </w:p>
        </w:tc>
        <w:tc>
          <w:tcPr>
            <w:tcW w:w="1249" w:type="dxa"/>
            <w:hideMark/>
          </w:tcPr>
          <w:p w14:paraId="4DF9E97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51,85%</w:t>
            </w:r>
          </w:p>
        </w:tc>
        <w:tc>
          <w:tcPr>
            <w:tcW w:w="1178" w:type="dxa"/>
            <w:hideMark/>
          </w:tcPr>
          <w:p w14:paraId="077E7DF5"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52,91%</w:t>
            </w:r>
          </w:p>
        </w:tc>
        <w:tc>
          <w:tcPr>
            <w:tcW w:w="1093" w:type="dxa"/>
            <w:hideMark/>
          </w:tcPr>
          <w:p w14:paraId="1AB2DFEC"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53,61%</w:t>
            </w:r>
          </w:p>
        </w:tc>
        <w:tc>
          <w:tcPr>
            <w:tcW w:w="990" w:type="dxa"/>
            <w:hideMark/>
          </w:tcPr>
          <w:p w14:paraId="5B4511E3"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53,72%</w:t>
            </w:r>
          </w:p>
        </w:tc>
      </w:tr>
      <w:tr w:rsidR="001D1F63" w:rsidRPr="001D1F63" w14:paraId="780D804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6C076A9"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Corsan</w:t>
            </w:r>
          </w:p>
        </w:tc>
        <w:tc>
          <w:tcPr>
            <w:tcW w:w="1248" w:type="dxa"/>
            <w:hideMark/>
          </w:tcPr>
          <w:p w14:paraId="60951A5E"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14,06%</w:t>
            </w:r>
          </w:p>
        </w:tc>
        <w:tc>
          <w:tcPr>
            <w:tcW w:w="1249" w:type="dxa"/>
            <w:hideMark/>
          </w:tcPr>
          <w:p w14:paraId="5321745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14,34%</w:t>
            </w:r>
          </w:p>
        </w:tc>
        <w:tc>
          <w:tcPr>
            <w:tcW w:w="1249" w:type="dxa"/>
            <w:hideMark/>
          </w:tcPr>
          <w:p w14:paraId="457938E6"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19,76%</w:t>
            </w:r>
          </w:p>
        </w:tc>
        <w:tc>
          <w:tcPr>
            <w:tcW w:w="1178" w:type="dxa"/>
            <w:hideMark/>
          </w:tcPr>
          <w:p w14:paraId="56889CB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14,20%</w:t>
            </w:r>
          </w:p>
        </w:tc>
        <w:tc>
          <w:tcPr>
            <w:tcW w:w="1093" w:type="dxa"/>
            <w:hideMark/>
          </w:tcPr>
          <w:p w14:paraId="51F18F3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10,35%</w:t>
            </w:r>
          </w:p>
        </w:tc>
        <w:tc>
          <w:tcPr>
            <w:tcW w:w="990" w:type="dxa"/>
            <w:hideMark/>
          </w:tcPr>
          <w:p w14:paraId="3B1036A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8,51%</w:t>
            </w:r>
          </w:p>
        </w:tc>
      </w:tr>
      <w:tr w:rsidR="001D1F63" w:rsidRPr="001D1F63" w14:paraId="49560FA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9000FCC"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Cosanpa</w:t>
            </w:r>
          </w:p>
        </w:tc>
        <w:tc>
          <w:tcPr>
            <w:tcW w:w="1248" w:type="dxa"/>
            <w:hideMark/>
          </w:tcPr>
          <w:p w14:paraId="526AC87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5,05%</w:t>
            </w:r>
          </w:p>
        </w:tc>
        <w:tc>
          <w:tcPr>
            <w:tcW w:w="1249" w:type="dxa"/>
            <w:hideMark/>
          </w:tcPr>
          <w:p w14:paraId="659988BF"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2,12%</w:t>
            </w:r>
          </w:p>
        </w:tc>
        <w:tc>
          <w:tcPr>
            <w:tcW w:w="1249" w:type="dxa"/>
            <w:hideMark/>
          </w:tcPr>
          <w:p w14:paraId="4E1FE97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2,54%</w:t>
            </w:r>
          </w:p>
        </w:tc>
        <w:tc>
          <w:tcPr>
            <w:tcW w:w="1178" w:type="dxa"/>
            <w:hideMark/>
          </w:tcPr>
          <w:p w14:paraId="394C7184"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2,52%</w:t>
            </w:r>
          </w:p>
        </w:tc>
        <w:tc>
          <w:tcPr>
            <w:tcW w:w="1093" w:type="dxa"/>
            <w:hideMark/>
          </w:tcPr>
          <w:p w14:paraId="44ABB563"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2,50%</w:t>
            </w:r>
          </w:p>
        </w:tc>
        <w:tc>
          <w:tcPr>
            <w:tcW w:w="990" w:type="dxa"/>
            <w:hideMark/>
          </w:tcPr>
          <w:p w14:paraId="0A5A680A"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2,75%</w:t>
            </w:r>
          </w:p>
        </w:tc>
      </w:tr>
      <w:tr w:rsidR="001D1F63" w:rsidRPr="001D1F63" w14:paraId="5D2745A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5A2CF6A"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Depasa</w:t>
            </w:r>
          </w:p>
        </w:tc>
        <w:tc>
          <w:tcPr>
            <w:tcW w:w="1248" w:type="dxa"/>
            <w:hideMark/>
          </w:tcPr>
          <w:p w14:paraId="51FBB7E6"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0,00%</w:t>
            </w:r>
          </w:p>
        </w:tc>
        <w:tc>
          <w:tcPr>
            <w:tcW w:w="1249" w:type="dxa"/>
            <w:hideMark/>
          </w:tcPr>
          <w:p w14:paraId="40CADAB5"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0,00%</w:t>
            </w:r>
          </w:p>
        </w:tc>
        <w:tc>
          <w:tcPr>
            <w:tcW w:w="1249" w:type="dxa"/>
            <w:hideMark/>
          </w:tcPr>
          <w:p w14:paraId="413517AA"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19,84%</w:t>
            </w:r>
          </w:p>
        </w:tc>
        <w:tc>
          <w:tcPr>
            <w:tcW w:w="1178" w:type="dxa"/>
            <w:hideMark/>
          </w:tcPr>
          <w:p w14:paraId="2CD99A4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17,69%</w:t>
            </w:r>
          </w:p>
        </w:tc>
        <w:tc>
          <w:tcPr>
            <w:tcW w:w="1093" w:type="dxa"/>
            <w:hideMark/>
          </w:tcPr>
          <w:p w14:paraId="3300F84D"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16,94%</w:t>
            </w:r>
          </w:p>
        </w:tc>
        <w:tc>
          <w:tcPr>
            <w:tcW w:w="990" w:type="dxa"/>
            <w:hideMark/>
          </w:tcPr>
          <w:p w14:paraId="47427FA2"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18,21%</w:t>
            </w:r>
          </w:p>
        </w:tc>
      </w:tr>
      <w:tr w:rsidR="001D1F63" w:rsidRPr="001D1F63" w14:paraId="15D2057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6A76B9C"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Deso</w:t>
            </w:r>
          </w:p>
        </w:tc>
        <w:tc>
          <w:tcPr>
            <w:tcW w:w="1248" w:type="dxa"/>
            <w:hideMark/>
          </w:tcPr>
          <w:p w14:paraId="1FD82102"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21,88%</w:t>
            </w:r>
          </w:p>
        </w:tc>
        <w:tc>
          <w:tcPr>
            <w:tcW w:w="1249" w:type="dxa"/>
            <w:hideMark/>
          </w:tcPr>
          <w:p w14:paraId="4176FB54"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22,08%</w:t>
            </w:r>
          </w:p>
        </w:tc>
        <w:tc>
          <w:tcPr>
            <w:tcW w:w="1249" w:type="dxa"/>
            <w:hideMark/>
          </w:tcPr>
          <w:p w14:paraId="0C94A8C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22,28%</w:t>
            </w:r>
          </w:p>
        </w:tc>
        <w:tc>
          <w:tcPr>
            <w:tcW w:w="1178" w:type="dxa"/>
            <w:hideMark/>
          </w:tcPr>
          <w:p w14:paraId="3E1C6770"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22,99%</w:t>
            </w:r>
          </w:p>
        </w:tc>
        <w:tc>
          <w:tcPr>
            <w:tcW w:w="1093" w:type="dxa"/>
            <w:hideMark/>
          </w:tcPr>
          <w:p w14:paraId="62B8F88B"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23,76%</w:t>
            </w:r>
          </w:p>
        </w:tc>
        <w:tc>
          <w:tcPr>
            <w:tcW w:w="990" w:type="dxa"/>
            <w:hideMark/>
          </w:tcPr>
          <w:p w14:paraId="6D23E9EC"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25,43%</w:t>
            </w:r>
          </w:p>
        </w:tc>
      </w:tr>
      <w:tr w:rsidR="001D1F63" w:rsidRPr="001D1F63" w14:paraId="766F4F6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5293E8A"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Embasa</w:t>
            </w:r>
          </w:p>
        </w:tc>
        <w:tc>
          <w:tcPr>
            <w:tcW w:w="1248" w:type="dxa"/>
            <w:hideMark/>
          </w:tcPr>
          <w:p w14:paraId="0A50FB78"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44,29%</w:t>
            </w:r>
          </w:p>
        </w:tc>
        <w:tc>
          <w:tcPr>
            <w:tcW w:w="1249" w:type="dxa"/>
            <w:hideMark/>
          </w:tcPr>
          <w:p w14:paraId="5FCBDB12"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47,11%</w:t>
            </w:r>
          </w:p>
        </w:tc>
        <w:tc>
          <w:tcPr>
            <w:tcW w:w="1249" w:type="dxa"/>
            <w:hideMark/>
          </w:tcPr>
          <w:p w14:paraId="2AA02F63"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57,38%</w:t>
            </w:r>
          </w:p>
        </w:tc>
        <w:tc>
          <w:tcPr>
            <w:tcW w:w="1178" w:type="dxa"/>
            <w:hideMark/>
          </w:tcPr>
          <w:p w14:paraId="5E46A761"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51,39%</w:t>
            </w:r>
          </w:p>
        </w:tc>
        <w:tc>
          <w:tcPr>
            <w:tcW w:w="1093" w:type="dxa"/>
            <w:hideMark/>
          </w:tcPr>
          <w:p w14:paraId="579019D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50,67%</w:t>
            </w:r>
          </w:p>
        </w:tc>
        <w:tc>
          <w:tcPr>
            <w:tcW w:w="990" w:type="dxa"/>
            <w:hideMark/>
          </w:tcPr>
          <w:p w14:paraId="4E3C32A2"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51,78%</w:t>
            </w:r>
          </w:p>
        </w:tc>
      </w:tr>
      <w:tr w:rsidR="001D1F63" w:rsidRPr="001D1F63" w14:paraId="0E1536F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74651D4"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Sabesp</w:t>
            </w:r>
          </w:p>
        </w:tc>
        <w:tc>
          <w:tcPr>
            <w:tcW w:w="1248" w:type="dxa"/>
            <w:hideMark/>
          </w:tcPr>
          <w:p w14:paraId="4FBDEE0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69,75%</w:t>
            </w:r>
          </w:p>
        </w:tc>
        <w:tc>
          <w:tcPr>
            <w:tcW w:w="1249" w:type="dxa"/>
            <w:hideMark/>
          </w:tcPr>
          <w:p w14:paraId="446195B4"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67,56%</w:t>
            </w:r>
          </w:p>
        </w:tc>
        <w:tc>
          <w:tcPr>
            <w:tcW w:w="1249" w:type="dxa"/>
            <w:hideMark/>
          </w:tcPr>
          <w:p w14:paraId="6EB8EA56"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69,85%</w:t>
            </w:r>
          </w:p>
        </w:tc>
        <w:tc>
          <w:tcPr>
            <w:tcW w:w="1178" w:type="dxa"/>
            <w:hideMark/>
          </w:tcPr>
          <w:p w14:paraId="4702DE2D"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68,85%</w:t>
            </w:r>
          </w:p>
        </w:tc>
        <w:tc>
          <w:tcPr>
            <w:tcW w:w="1093" w:type="dxa"/>
            <w:hideMark/>
          </w:tcPr>
          <w:p w14:paraId="541244C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71,46%</w:t>
            </w:r>
          </w:p>
        </w:tc>
        <w:tc>
          <w:tcPr>
            <w:tcW w:w="990" w:type="dxa"/>
            <w:hideMark/>
          </w:tcPr>
          <w:p w14:paraId="5BE57DBA"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74,78%</w:t>
            </w:r>
          </w:p>
        </w:tc>
      </w:tr>
      <w:tr w:rsidR="001D1F63" w:rsidRPr="001D1F63" w14:paraId="6299454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EE98461"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Saneago</w:t>
            </w:r>
          </w:p>
        </w:tc>
        <w:tc>
          <w:tcPr>
            <w:tcW w:w="1248" w:type="dxa"/>
            <w:hideMark/>
          </w:tcPr>
          <w:p w14:paraId="3F886C5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49,27%</w:t>
            </w:r>
          </w:p>
        </w:tc>
        <w:tc>
          <w:tcPr>
            <w:tcW w:w="1249" w:type="dxa"/>
            <w:hideMark/>
          </w:tcPr>
          <w:p w14:paraId="6FB1C735"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49,58%</w:t>
            </w:r>
          </w:p>
        </w:tc>
        <w:tc>
          <w:tcPr>
            <w:tcW w:w="1249" w:type="dxa"/>
            <w:hideMark/>
          </w:tcPr>
          <w:p w14:paraId="1234288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50,10%</w:t>
            </w:r>
          </w:p>
        </w:tc>
        <w:tc>
          <w:tcPr>
            <w:tcW w:w="1178" w:type="dxa"/>
            <w:hideMark/>
          </w:tcPr>
          <w:p w14:paraId="760388A6"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51,03%</w:t>
            </w:r>
          </w:p>
        </w:tc>
        <w:tc>
          <w:tcPr>
            <w:tcW w:w="1093" w:type="dxa"/>
            <w:hideMark/>
          </w:tcPr>
          <w:p w14:paraId="009E3EB2"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52,34%</w:t>
            </w:r>
          </w:p>
        </w:tc>
        <w:tc>
          <w:tcPr>
            <w:tcW w:w="990" w:type="dxa"/>
            <w:hideMark/>
          </w:tcPr>
          <w:p w14:paraId="51D7E5D7"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53,25%</w:t>
            </w:r>
          </w:p>
        </w:tc>
      </w:tr>
      <w:tr w:rsidR="001D1F63" w:rsidRPr="001D1F63" w14:paraId="24AA3B9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D03370B"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EA348F">
              <w:rPr>
                <w:color w:val="000000"/>
                <w:sz w:val="22"/>
                <w:lang w:eastAsia="es-CO"/>
              </w:rPr>
              <w:t>Saneatins</w:t>
            </w:r>
          </w:p>
        </w:tc>
        <w:tc>
          <w:tcPr>
            <w:tcW w:w="1248" w:type="dxa"/>
            <w:hideMark/>
          </w:tcPr>
          <w:p w14:paraId="6F6365B4"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14,05%</w:t>
            </w:r>
          </w:p>
        </w:tc>
        <w:tc>
          <w:tcPr>
            <w:tcW w:w="1249" w:type="dxa"/>
            <w:hideMark/>
          </w:tcPr>
          <w:p w14:paraId="534199E2"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16,15%</w:t>
            </w:r>
          </w:p>
        </w:tc>
        <w:tc>
          <w:tcPr>
            <w:tcW w:w="1249" w:type="dxa"/>
            <w:hideMark/>
          </w:tcPr>
          <w:p w14:paraId="16B957BC"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14,57%</w:t>
            </w:r>
          </w:p>
        </w:tc>
        <w:tc>
          <w:tcPr>
            <w:tcW w:w="1178" w:type="dxa"/>
            <w:hideMark/>
          </w:tcPr>
          <w:p w14:paraId="5F67789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19,18%</w:t>
            </w:r>
          </w:p>
        </w:tc>
        <w:tc>
          <w:tcPr>
            <w:tcW w:w="1093" w:type="dxa"/>
            <w:hideMark/>
          </w:tcPr>
          <w:p w14:paraId="1F8A735B"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19,75%</w:t>
            </w:r>
          </w:p>
        </w:tc>
        <w:tc>
          <w:tcPr>
            <w:tcW w:w="990" w:type="dxa"/>
            <w:hideMark/>
          </w:tcPr>
          <w:p w14:paraId="1D782182"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EA348F">
              <w:rPr>
                <w:color w:val="000000"/>
                <w:sz w:val="22"/>
                <w:lang w:eastAsia="es-CO"/>
              </w:rPr>
              <w:t>23,96%</w:t>
            </w:r>
          </w:p>
        </w:tc>
      </w:tr>
      <w:tr w:rsidR="001D1F63" w:rsidRPr="001D1F63" w14:paraId="3C726DC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1BCCEA6"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lastRenderedPageBreak/>
              <w:t>Sanepar</w:t>
            </w:r>
          </w:p>
        </w:tc>
        <w:tc>
          <w:tcPr>
            <w:tcW w:w="1248" w:type="dxa"/>
            <w:hideMark/>
          </w:tcPr>
          <w:p w14:paraId="33507206"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61,09%</w:t>
            </w:r>
          </w:p>
        </w:tc>
        <w:tc>
          <w:tcPr>
            <w:tcW w:w="1249" w:type="dxa"/>
            <w:hideMark/>
          </w:tcPr>
          <w:p w14:paraId="3033211B"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62,48%</w:t>
            </w:r>
          </w:p>
        </w:tc>
        <w:tc>
          <w:tcPr>
            <w:tcW w:w="1249" w:type="dxa"/>
            <w:hideMark/>
          </w:tcPr>
          <w:p w14:paraId="3489C2E1"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63,71%</w:t>
            </w:r>
          </w:p>
        </w:tc>
        <w:tc>
          <w:tcPr>
            <w:tcW w:w="1178" w:type="dxa"/>
            <w:hideMark/>
          </w:tcPr>
          <w:p w14:paraId="240602D0"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65,52%</w:t>
            </w:r>
          </w:p>
        </w:tc>
        <w:tc>
          <w:tcPr>
            <w:tcW w:w="1093" w:type="dxa"/>
            <w:hideMark/>
          </w:tcPr>
          <w:p w14:paraId="15A6AD92"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66,64%</w:t>
            </w:r>
          </w:p>
        </w:tc>
        <w:tc>
          <w:tcPr>
            <w:tcW w:w="990" w:type="dxa"/>
            <w:hideMark/>
          </w:tcPr>
          <w:p w14:paraId="365D82DF" w14:textId="77777777" w:rsidR="001D1F63" w:rsidRPr="00EA348F"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eastAsia="es-CO"/>
              </w:rPr>
            </w:pPr>
            <w:r w:rsidRPr="00272793">
              <w:rPr>
                <w:color w:val="000000"/>
                <w:sz w:val="22"/>
                <w:lang w:eastAsia="es-CO"/>
              </w:rPr>
              <w:t>68,26%</w:t>
            </w:r>
          </w:p>
        </w:tc>
      </w:tr>
      <w:tr w:rsidR="001D1F63" w:rsidRPr="001D1F63" w14:paraId="4EA5FFD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CE9E05B" w14:textId="77777777" w:rsidR="001D1F63" w:rsidRPr="00EA348F" w:rsidRDefault="001D1F63" w:rsidP="001D1F63">
            <w:pPr>
              <w:spacing w:before="0" w:beforeAutospacing="0" w:after="0" w:afterAutospacing="0" w:line="240" w:lineRule="auto"/>
              <w:ind w:firstLine="0"/>
              <w:jc w:val="left"/>
              <w:rPr>
                <w:color w:val="000000"/>
                <w:sz w:val="22"/>
                <w:lang w:eastAsia="es-CO"/>
              </w:rPr>
            </w:pPr>
            <w:r w:rsidRPr="00272793">
              <w:rPr>
                <w:color w:val="000000"/>
                <w:sz w:val="22"/>
                <w:lang w:eastAsia="es-CO"/>
              </w:rPr>
              <w:t>Sanesul</w:t>
            </w:r>
          </w:p>
        </w:tc>
        <w:tc>
          <w:tcPr>
            <w:tcW w:w="1248" w:type="dxa"/>
            <w:hideMark/>
          </w:tcPr>
          <w:p w14:paraId="0350C8F9"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10,95%</w:t>
            </w:r>
          </w:p>
        </w:tc>
        <w:tc>
          <w:tcPr>
            <w:tcW w:w="1249" w:type="dxa"/>
            <w:hideMark/>
          </w:tcPr>
          <w:p w14:paraId="4D3A97A0"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13,80%</w:t>
            </w:r>
          </w:p>
        </w:tc>
        <w:tc>
          <w:tcPr>
            <w:tcW w:w="1249" w:type="dxa"/>
            <w:hideMark/>
          </w:tcPr>
          <w:p w14:paraId="5BD7C48B"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15,90%</w:t>
            </w:r>
          </w:p>
        </w:tc>
        <w:tc>
          <w:tcPr>
            <w:tcW w:w="1178" w:type="dxa"/>
            <w:hideMark/>
          </w:tcPr>
          <w:p w14:paraId="7F9BFD28"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18,35%</w:t>
            </w:r>
          </w:p>
        </w:tc>
        <w:tc>
          <w:tcPr>
            <w:tcW w:w="1093" w:type="dxa"/>
            <w:hideMark/>
          </w:tcPr>
          <w:p w14:paraId="1E4BE09E"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21,62%</w:t>
            </w:r>
          </w:p>
        </w:tc>
        <w:tc>
          <w:tcPr>
            <w:tcW w:w="990" w:type="dxa"/>
            <w:hideMark/>
          </w:tcPr>
          <w:p w14:paraId="5FF4D541" w14:textId="77777777" w:rsidR="001D1F63" w:rsidRPr="00EA348F"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eastAsia="es-CO"/>
              </w:rPr>
            </w:pPr>
            <w:r w:rsidRPr="00272793">
              <w:rPr>
                <w:color w:val="000000"/>
                <w:sz w:val="22"/>
                <w:lang w:eastAsia="es-CO"/>
              </w:rPr>
              <w:t>24,64%</w:t>
            </w:r>
          </w:p>
        </w:tc>
      </w:tr>
    </w:tbl>
    <w:p w14:paraId="02EB859E" w14:textId="13A4CF75" w:rsidR="00117BE1" w:rsidRPr="00042F25" w:rsidRDefault="00117BE1" w:rsidP="00117BE1">
      <w:pPr>
        <w:pStyle w:val="Descripcin"/>
        <w:spacing w:before="0" w:beforeAutospacing="0"/>
        <w:jc w:val="left"/>
        <w:rPr>
          <w:sz w:val="20"/>
        </w:rPr>
      </w:pPr>
      <w:r w:rsidRPr="00042F25">
        <w:rPr>
          <w:sz w:val="20"/>
        </w:rPr>
        <w:t>Fonte: SNIS 2015. Elaborado por: GO Associados</w:t>
      </w:r>
    </w:p>
    <w:p w14:paraId="737C3D33" w14:textId="77777777" w:rsidR="00B352AB" w:rsidRPr="00042F25" w:rsidRDefault="00B352AB" w:rsidP="00B352AB"/>
    <w:p w14:paraId="0044B887" w14:textId="57562A84" w:rsidR="00B352AB" w:rsidRPr="00042F25" w:rsidRDefault="00B352AB" w:rsidP="00C71C89">
      <w:pPr>
        <w:pStyle w:val="Ttulo2"/>
        <w:ind w:left="1427"/>
      </w:pPr>
      <w:bookmarkStart w:id="20" w:name="_Toc493094925"/>
      <w:r w:rsidRPr="00042F25">
        <w:t>Índice de esgoto tratado</w:t>
      </w:r>
      <w:bookmarkEnd w:id="20"/>
    </w:p>
    <w:p w14:paraId="6767D534" w14:textId="785851A7" w:rsidR="00B352AB" w:rsidRPr="00042F25" w:rsidRDefault="00B352AB" w:rsidP="00B352AB">
      <w:r w:rsidRPr="00042F25">
        <w:t xml:space="preserve">O índice de </w:t>
      </w:r>
      <w:r w:rsidR="002F7B22" w:rsidRPr="00042F25">
        <w:t>esgoto tratado referido à água consumida</w:t>
      </w:r>
      <w:r w:rsidRPr="00042F25">
        <w:t xml:space="preserve"> (IN0</w:t>
      </w:r>
      <w:r w:rsidR="002F7B22" w:rsidRPr="00042F25">
        <w:t>46)</w:t>
      </w:r>
      <w:r w:rsidR="00BF6582" w:rsidRPr="00042F25">
        <w:t>, expresso em</w:t>
      </w:r>
      <w:r w:rsidR="002F7B22" w:rsidRPr="00042F25">
        <w:t xml:space="preserve"> </w:t>
      </w:r>
      <w:r w:rsidR="001D1F63">
        <w:t>percentagem</w:t>
      </w:r>
      <w:r w:rsidR="002F7B22" w:rsidRPr="00042F25">
        <w:t>,</w:t>
      </w:r>
      <w:r w:rsidR="00194B75" w:rsidRPr="00042F25">
        <w:t xml:space="preserve"> usa o volume de água consumido </w:t>
      </w:r>
      <w:r w:rsidR="002F7B22" w:rsidRPr="00042F25">
        <w:t>(AG0</w:t>
      </w:r>
      <w:r w:rsidR="00194B75" w:rsidRPr="00042F25">
        <w:t>10</w:t>
      </w:r>
      <w:r w:rsidR="002F7B22" w:rsidRPr="00042F25">
        <w:t xml:space="preserve">), </w:t>
      </w:r>
      <w:r w:rsidR="00194B75" w:rsidRPr="00042F25">
        <w:t>o volume de água tratada exportado</w:t>
      </w:r>
      <w:r w:rsidRPr="00042F25">
        <w:t xml:space="preserve"> (</w:t>
      </w:r>
      <w:r w:rsidR="00194B75" w:rsidRPr="00042F25">
        <w:t>AG</w:t>
      </w:r>
      <w:r w:rsidRPr="00042F25">
        <w:t>0</w:t>
      </w:r>
      <w:r w:rsidR="00194B75" w:rsidRPr="00042F25">
        <w:t xml:space="preserve">19), o volume de esgotos tratado (ES006) </w:t>
      </w:r>
      <w:r w:rsidRPr="00042F25">
        <w:t xml:space="preserve">e </w:t>
      </w:r>
      <w:r w:rsidR="00194B75" w:rsidRPr="00042F25">
        <w:t>o volume de esgoto bruto exportado tratado nas instalações do importador (ES015</w:t>
      </w:r>
      <w:r w:rsidR="006105B9" w:rsidRPr="00042F25">
        <w:t>) para o seu cálculo:</w:t>
      </w:r>
    </w:p>
    <w:p w14:paraId="156B14A5" w14:textId="36B8C71C" w:rsidR="00B352AB" w:rsidRPr="00042F25" w:rsidRDefault="00B352AB" w:rsidP="00114CDA">
      <w:pPr>
        <w:jc w:val="center"/>
      </w:pPr>
      <m:oMathPara>
        <m:oMath>
          <m:r>
            <w:rPr>
              <w:rFonts w:ascii="Cambria Math" w:hAnsi="Cambria Math"/>
            </w:rPr>
            <m:t xml:space="preserve">IN046= </m:t>
          </m:r>
          <m:f>
            <m:fPr>
              <m:ctrlPr>
                <w:rPr>
                  <w:rFonts w:ascii="Cambria Math" w:hAnsi="Cambria Math"/>
                  <w:i/>
                </w:rPr>
              </m:ctrlPr>
            </m:fPr>
            <m:num>
              <m:r>
                <w:rPr>
                  <w:rFonts w:ascii="Cambria Math" w:hAnsi="Cambria Math"/>
                </w:rPr>
                <m:t>ES006+ES015</m:t>
              </m:r>
            </m:num>
            <m:den>
              <m:r>
                <w:rPr>
                  <w:rFonts w:ascii="Cambria Math" w:hAnsi="Cambria Math"/>
                </w:rPr>
                <m:t>AG010-AG019</m:t>
              </m:r>
            </m:den>
          </m:f>
          <m:r>
            <w:rPr>
              <w:rFonts w:ascii="Cambria Math" w:hAnsi="Cambria Math"/>
            </w:rPr>
            <m:t>*100</m:t>
          </m:r>
        </m:oMath>
      </m:oMathPara>
    </w:p>
    <w:p w14:paraId="728ED357" w14:textId="6F415ED0" w:rsidR="00BE7793" w:rsidRDefault="000B312F" w:rsidP="009B26D9">
      <w:pPr>
        <w:ind w:right="-1"/>
        <w:rPr>
          <w:szCs w:val="24"/>
          <w:shd w:val="clear" w:color="auto" w:fill="FFFFFF"/>
        </w:rPr>
      </w:pPr>
      <w:r w:rsidRPr="00042F25">
        <w:t>O sistema de tratamento de esgoto é outro fator importante para a saúde pública, evitando</w:t>
      </w:r>
      <w:r w:rsidRPr="00042F25">
        <w:rPr>
          <w:szCs w:val="24"/>
          <w:shd w:val="clear" w:color="auto" w:fill="FFFFFF"/>
        </w:rPr>
        <w:t xml:space="preserve"> a proliferação e transmissão de inúmeras doenças.</w:t>
      </w:r>
      <w:r w:rsidR="009B26D9" w:rsidRPr="00042F25">
        <w:rPr>
          <w:szCs w:val="24"/>
          <w:shd w:val="clear" w:color="auto" w:fill="FFFFFF"/>
        </w:rPr>
        <w:t xml:space="preserve"> </w:t>
      </w:r>
      <w:r w:rsidR="001D1F63">
        <w:rPr>
          <w:szCs w:val="24"/>
          <w:shd w:val="clear" w:color="auto" w:fill="FFFFFF"/>
        </w:rPr>
        <w:t xml:space="preserve">Além disso, o tratamento de esgoto reduz o impacto negativo no médio ambiente do uso do recurso hídrico. </w:t>
      </w:r>
      <w:r w:rsidR="0060248C" w:rsidRPr="00EA348F">
        <w:rPr>
          <w:szCs w:val="24"/>
          <w:shd w:val="clear" w:color="auto" w:fill="FFFFFF"/>
        </w:rPr>
        <w:t xml:space="preserve">Quando </w:t>
      </w:r>
      <w:r w:rsidR="001D1F63">
        <w:rPr>
          <w:szCs w:val="24"/>
          <w:shd w:val="clear" w:color="auto" w:fill="FFFFFF"/>
        </w:rPr>
        <w:t>observado</w:t>
      </w:r>
      <w:r w:rsidR="0060248C" w:rsidRPr="00EA348F">
        <w:rPr>
          <w:szCs w:val="24"/>
          <w:shd w:val="clear" w:color="auto" w:fill="FFFFFF"/>
        </w:rPr>
        <w:t xml:space="preserve"> em comparação com os índices de coleta e atendimento, pode se avaliar o déficit de tratamento real.</w:t>
      </w:r>
      <w:r w:rsidR="001D1F63">
        <w:rPr>
          <w:szCs w:val="24"/>
          <w:shd w:val="clear" w:color="auto" w:fill="FFFFFF"/>
        </w:rPr>
        <w:t xml:space="preserve"> </w:t>
      </w:r>
    </w:p>
    <w:p w14:paraId="635E960B" w14:textId="1374A70A" w:rsidR="001D1F63" w:rsidRPr="00042F25" w:rsidRDefault="001D1F63" w:rsidP="009B26D9">
      <w:pPr>
        <w:ind w:right="-1"/>
        <w:rPr>
          <w:szCs w:val="24"/>
          <w:shd w:val="clear" w:color="auto" w:fill="FFFFFF"/>
        </w:rPr>
      </w:pPr>
      <w:r>
        <w:rPr>
          <w:szCs w:val="24"/>
          <w:shd w:val="clear" w:color="auto" w:fill="FFFFFF"/>
        </w:rPr>
        <w:t>Em média o índice de tratamento relativo a agua consumida foi de 31,1% para os prestadores da AESBE.</w:t>
      </w:r>
    </w:p>
    <w:p w14:paraId="6DF0A0DB" w14:textId="70146BA1" w:rsidR="00993062" w:rsidRDefault="00993062" w:rsidP="00993062">
      <w:pPr>
        <w:pStyle w:val="Descripcin"/>
      </w:pPr>
      <w:bookmarkStart w:id="21" w:name="_Toc493222474"/>
      <w:r w:rsidRPr="00042F25">
        <w:t xml:space="preserve">Quadro </w:t>
      </w:r>
      <w:fldSimple w:instr=" SEQ Quadro \* ARABIC ">
        <w:r w:rsidR="00B64D1C" w:rsidRPr="00042F25">
          <w:rPr>
            <w:noProof/>
          </w:rPr>
          <w:t>11</w:t>
        </w:r>
      </w:fldSimple>
      <w:r w:rsidRPr="00042F25">
        <w:t xml:space="preserve"> – Índice de Esgoto Tratado Referido à Água Consumida (IN046)</w:t>
      </w:r>
      <w:bookmarkEnd w:id="21"/>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1D1F63" w:rsidRPr="001D1F63" w14:paraId="1B377F1A"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55B236C" w14:textId="77777777" w:rsidR="001D1F63" w:rsidRPr="001D1F63" w:rsidRDefault="001D1F63" w:rsidP="001D1F63">
            <w:pPr>
              <w:spacing w:before="0" w:beforeAutospacing="0" w:after="0" w:afterAutospacing="0" w:line="240" w:lineRule="auto"/>
              <w:ind w:firstLine="0"/>
              <w:jc w:val="left"/>
              <w:rPr>
                <w:color w:val="FFFFFF"/>
                <w:sz w:val="22"/>
                <w:lang w:val="es-CO" w:eastAsia="es-CO"/>
              </w:rPr>
            </w:pPr>
            <w:r w:rsidRPr="001D1F63">
              <w:rPr>
                <w:color w:val="FFFFFF"/>
                <w:sz w:val="22"/>
                <w:lang w:eastAsia="es-CO"/>
              </w:rPr>
              <w:t>Empresa</w:t>
            </w:r>
          </w:p>
        </w:tc>
        <w:tc>
          <w:tcPr>
            <w:tcW w:w="1248" w:type="dxa"/>
            <w:hideMark/>
          </w:tcPr>
          <w:p w14:paraId="046AA374" w14:textId="77777777" w:rsidR="001D1F63" w:rsidRPr="001D1F63"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1D1F63">
              <w:rPr>
                <w:color w:val="FFFFFF"/>
                <w:sz w:val="22"/>
                <w:lang w:eastAsia="es-CO"/>
              </w:rPr>
              <w:t>2010</w:t>
            </w:r>
          </w:p>
        </w:tc>
        <w:tc>
          <w:tcPr>
            <w:tcW w:w="1249" w:type="dxa"/>
            <w:hideMark/>
          </w:tcPr>
          <w:p w14:paraId="0A0D5BFB" w14:textId="77777777" w:rsidR="001D1F63" w:rsidRPr="001D1F63"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1D1F63">
              <w:rPr>
                <w:color w:val="FFFFFF"/>
                <w:sz w:val="22"/>
                <w:lang w:eastAsia="es-CO"/>
              </w:rPr>
              <w:t>2011</w:t>
            </w:r>
          </w:p>
        </w:tc>
        <w:tc>
          <w:tcPr>
            <w:tcW w:w="1249" w:type="dxa"/>
            <w:hideMark/>
          </w:tcPr>
          <w:p w14:paraId="3D8E608F" w14:textId="77777777" w:rsidR="001D1F63" w:rsidRPr="001D1F63"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1D1F63">
              <w:rPr>
                <w:color w:val="FFFFFF"/>
                <w:sz w:val="22"/>
                <w:lang w:eastAsia="es-CO"/>
              </w:rPr>
              <w:t>2012</w:t>
            </w:r>
          </w:p>
        </w:tc>
        <w:tc>
          <w:tcPr>
            <w:tcW w:w="1178" w:type="dxa"/>
            <w:hideMark/>
          </w:tcPr>
          <w:p w14:paraId="1A1B2684" w14:textId="77777777" w:rsidR="001D1F63" w:rsidRPr="001D1F63"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1D1F63">
              <w:rPr>
                <w:color w:val="FFFFFF"/>
                <w:sz w:val="22"/>
                <w:lang w:eastAsia="es-CO"/>
              </w:rPr>
              <w:t>2013</w:t>
            </w:r>
          </w:p>
        </w:tc>
        <w:tc>
          <w:tcPr>
            <w:tcW w:w="1093" w:type="dxa"/>
            <w:hideMark/>
          </w:tcPr>
          <w:p w14:paraId="1EA16441" w14:textId="77777777" w:rsidR="001D1F63" w:rsidRPr="001D1F63"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1D1F63">
              <w:rPr>
                <w:color w:val="FFFFFF"/>
                <w:sz w:val="22"/>
                <w:lang w:eastAsia="es-CO"/>
              </w:rPr>
              <w:t>2014</w:t>
            </w:r>
          </w:p>
        </w:tc>
        <w:tc>
          <w:tcPr>
            <w:tcW w:w="990" w:type="dxa"/>
            <w:hideMark/>
          </w:tcPr>
          <w:p w14:paraId="308FE456" w14:textId="77777777" w:rsidR="001D1F63" w:rsidRPr="001D1F63" w:rsidRDefault="001D1F63" w:rsidP="001D1F63">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1D1F63">
              <w:rPr>
                <w:color w:val="FFFFFF"/>
                <w:sz w:val="22"/>
                <w:lang w:eastAsia="es-CO"/>
              </w:rPr>
              <w:t>2015</w:t>
            </w:r>
          </w:p>
        </w:tc>
      </w:tr>
      <w:tr w:rsidR="001D1F63" w:rsidRPr="001D1F63" w14:paraId="0BDB51F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13C357"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Agespisa</w:t>
            </w:r>
          </w:p>
        </w:tc>
        <w:tc>
          <w:tcPr>
            <w:tcW w:w="1248" w:type="dxa"/>
            <w:hideMark/>
          </w:tcPr>
          <w:p w14:paraId="0039B19B"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7,03%</w:t>
            </w:r>
          </w:p>
        </w:tc>
        <w:tc>
          <w:tcPr>
            <w:tcW w:w="1249" w:type="dxa"/>
            <w:hideMark/>
          </w:tcPr>
          <w:p w14:paraId="405F485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9,58%</w:t>
            </w:r>
          </w:p>
        </w:tc>
        <w:tc>
          <w:tcPr>
            <w:tcW w:w="1249" w:type="dxa"/>
            <w:hideMark/>
          </w:tcPr>
          <w:p w14:paraId="22674B4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8,91%</w:t>
            </w:r>
          </w:p>
        </w:tc>
        <w:tc>
          <w:tcPr>
            <w:tcW w:w="1178" w:type="dxa"/>
            <w:hideMark/>
          </w:tcPr>
          <w:p w14:paraId="6FC0064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8,33%</w:t>
            </w:r>
          </w:p>
        </w:tc>
        <w:tc>
          <w:tcPr>
            <w:tcW w:w="1093" w:type="dxa"/>
            <w:hideMark/>
          </w:tcPr>
          <w:p w14:paraId="34BE056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9,62%</w:t>
            </w:r>
          </w:p>
        </w:tc>
        <w:tc>
          <w:tcPr>
            <w:tcW w:w="990" w:type="dxa"/>
            <w:hideMark/>
          </w:tcPr>
          <w:p w14:paraId="78E1DCAA"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9,61%</w:t>
            </w:r>
          </w:p>
        </w:tc>
      </w:tr>
      <w:tr w:rsidR="001D1F63" w:rsidRPr="001D1F63" w14:paraId="48A9F91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7E3E291"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Caema</w:t>
            </w:r>
          </w:p>
        </w:tc>
        <w:tc>
          <w:tcPr>
            <w:tcW w:w="1248" w:type="dxa"/>
            <w:hideMark/>
          </w:tcPr>
          <w:p w14:paraId="7C77C836"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10,67%</w:t>
            </w:r>
          </w:p>
        </w:tc>
        <w:tc>
          <w:tcPr>
            <w:tcW w:w="1249" w:type="dxa"/>
            <w:hideMark/>
          </w:tcPr>
          <w:p w14:paraId="1A48C36B"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8,21%</w:t>
            </w:r>
          </w:p>
        </w:tc>
        <w:tc>
          <w:tcPr>
            <w:tcW w:w="1249" w:type="dxa"/>
            <w:hideMark/>
          </w:tcPr>
          <w:p w14:paraId="747DA6D3"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7,90%</w:t>
            </w:r>
          </w:p>
        </w:tc>
        <w:tc>
          <w:tcPr>
            <w:tcW w:w="1178" w:type="dxa"/>
            <w:hideMark/>
          </w:tcPr>
          <w:p w14:paraId="1375ED62"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6,06%</w:t>
            </w:r>
          </w:p>
        </w:tc>
        <w:tc>
          <w:tcPr>
            <w:tcW w:w="1093" w:type="dxa"/>
            <w:hideMark/>
          </w:tcPr>
          <w:p w14:paraId="2E207E7A"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11,79%</w:t>
            </w:r>
          </w:p>
        </w:tc>
        <w:tc>
          <w:tcPr>
            <w:tcW w:w="990" w:type="dxa"/>
            <w:hideMark/>
          </w:tcPr>
          <w:p w14:paraId="2FA0D8CD"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12,04%</w:t>
            </w:r>
          </w:p>
        </w:tc>
      </w:tr>
      <w:tr w:rsidR="001D1F63" w:rsidRPr="001D1F63" w14:paraId="7C084B6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C54E7B"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Caer</w:t>
            </w:r>
          </w:p>
        </w:tc>
        <w:tc>
          <w:tcPr>
            <w:tcW w:w="1248" w:type="dxa"/>
            <w:hideMark/>
          </w:tcPr>
          <w:p w14:paraId="1B6092D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18,57%</w:t>
            </w:r>
          </w:p>
        </w:tc>
        <w:tc>
          <w:tcPr>
            <w:tcW w:w="1249" w:type="dxa"/>
            <w:hideMark/>
          </w:tcPr>
          <w:p w14:paraId="62EDE08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19,72%</w:t>
            </w:r>
          </w:p>
        </w:tc>
        <w:tc>
          <w:tcPr>
            <w:tcW w:w="1249" w:type="dxa"/>
            <w:hideMark/>
          </w:tcPr>
          <w:p w14:paraId="5ACB6B24"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39,60%</w:t>
            </w:r>
          </w:p>
        </w:tc>
        <w:tc>
          <w:tcPr>
            <w:tcW w:w="1178" w:type="dxa"/>
            <w:hideMark/>
          </w:tcPr>
          <w:p w14:paraId="48DA249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44,55%</w:t>
            </w:r>
          </w:p>
        </w:tc>
        <w:tc>
          <w:tcPr>
            <w:tcW w:w="1093" w:type="dxa"/>
            <w:hideMark/>
          </w:tcPr>
          <w:p w14:paraId="73BA6688"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31,20%</w:t>
            </w:r>
          </w:p>
        </w:tc>
        <w:tc>
          <w:tcPr>
            <w:tcW w:w="990" w:type="dxa"/>
            <w:hideMark/>
          </w:tcPr>
          <w:p w14:paraId="50FC59A7"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57,15%</w:t>
            </w:r>
          </w:p>
        </w:tc>
      </w:tr>
      <w:tr w:rsidR="001D1F63" w:rsidRPr="001D1F63" w14:paraId="74ABB87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540E822"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Caerd</w:t>
            </w:r>
          </w:p>
        </w:tc>
        <w:tc>
          <w:tcPr>
            <w:tcW w:w="1248" w:type="dxa"/>
            <w:hideMark/>
          </w:tcPr>
          <w:p w14:paraId="0616522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249" w:type="dxa"/>
            <w:hideMark/>
          </w:tcPr>
          <w:p w14:paraId="215B1217"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249" w:type="dxa"/>
            <w:hideMark/>
          </w:tcPr>
          <w:p w14:paraId="3DD1C75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178" w:type="dxa"/>
            <w:hideMark/>
          </w:tcPr>
          <w:p w14:paraId="33D9E772"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093" w:type="dxa"/>
            <w:hideMark/>
          </w:tcPr>
          <w:p w14:paraId="4990BDC8"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990" w:type="dxa"/>
            <w:hideMark/>
          </w:tcPr>
          <w:p w14:paraId="50CD726E"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r>
      <w:tr w:rsidR="001D1F63" w:rsidRPr="001D1F63" w14:paraId="2DFEA71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AD039D1"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Caern</w:t>
            </w:r>
          </w:p>
        </w:tc>
        <w:tc>
          <w:tcPr>
            <w:tcW w:w="1248" w:type="dxa"/>
            <w:hideMark/>
          </w:tcPr>
          <w:p w14:paraId="2146F48C"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16,24%</w:t>
            </w:r>
          </w:p>
        </w:tc>
        <w:tc>
          <w:tcPr>
            <w:tcW w:w="1249" w:type="dxa"/>
            <w:hideMark/>
          </w:tcPr>
          <w:p w14:paraId="3A206ECF"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26,40%</w:t>
            </w:r>
          </w:p>
        </w:tc>
        <w:tc>
          <w:tcPr>
            <w:tcW w:w="1249" w:type="dxa"/>
            <w:hideMark/>
          </w:tcPr>
          <w:p w14:paraId="0947CDC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19,73%</w:t>
            </w:r>
          </w:p>
        </w:tc>
        <w:tc>
          <w:tcPr>
            <w:tcW w:w="1178" w:type="dxa"/>
            <w:hideMark/>
          </w:tcPr>
          <w:p w14:paraId="22ADDEDA"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20,00%</w:t>
            </w:r>
          </w:p>
        </w:tc>
        <w:tc>
          <w:tcPr>
            <w:tcW w:w="1093" w:type="dxa"/>
            <w:hideMark/>
          </w:tcPr>
          <w:p w14:paraId="034B145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19,66%</w:t>
            </w:r>
          </w:p>
        </w:tc>
        <w:tc>
          <w:tcPr>
            <w:tcW w:w="990" w:type="dxa"/>
            <w:hideMark/>
          </w:tcPr>
          <w:p w14:paraId="7257D120"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20,86%</w:t>
            </w:r>
          </w:p>
        </w:tc>
      </w:tr>
      <w:tr w:rsidR="001D1F63" w:rsidRPr="001D1F63" w14:paraId="7C60075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D5C446B"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Caesa</w:t>
            </w:r>
          </w:p>
        </w:tc>
        <w:tc>
          <w:tcPr>
            <w:tcW w:w="1248" w:type="dxa"/>
            <w:hideMark/>
          </w:tcPr>
          <w:p w14:paraId="77B97F68"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249" w:type="dxa"/>
            <w:hideMark/>
          </w:tcPr>
          <w:p w14:paraId="22599E03"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11,32%</w:t>
            </w:r>
          </w:p>
        </w:tc>
        <w:tc>
          <w:tcPr>
            <w:tcW w:w="1249" w:type="dxa"/>
            <w:hideMark/>
          </w:tcPr>
          <w:p w14:paraId="630F9BD9"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12,20%</w:t>
            </w:r>
          </w:p>
        </w:tc>
        <w:tc>
          <w:tcPr>
            <w:tcW w:w="1178" w:type="dxa"/>
            <w:hideMark/>
          </w:tcPr>
          <w:p w14:paraId="68DACDF7"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5,63%</w:t>
            </w:r>
          </w:p>
        </w:tc>
        <w:tc>
          <w:tcPr>
            <w:tcW w:w="1093" w:type="dxa"/>
            <w:hideMark/>
          </w:tcPr>
          <w:p w14:paraId="2D1C596B"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5,76%</w:t>
            </w:r>
          </w:p>
        </w:tc>
        <w:tc>
          <w:tcPr>
            <w:tcW w:w="990" w:type="dxa"/>
            <w:hideMark/>
          </w:tcPr>
          <w:p w14:paraId="339F2BC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13,21%</w:t>
            </w:r>
          </w:p>
        </w:tc>
      </w:tr>
      <w:tr w:rsidR="001D1F63" w:rsidRPr="001D1F63" w14:paraId="4FE8194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B06E429"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Caesb</w:t>
            </w:r>
          </w:p>
        </w:tc>
        <w:tc>
          <w:tcPr>
            <w:tcW w:w="1248" w:type="dxa"/>
            <w:hideMark/>
          </w:tcPr>
          <w:p w14:paraId="226BB211"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64,36%</w:t>
            </w:r>
          </w:p>
        </w:tc>
        <w:tc>
          <w:tcPr>
            <w:tcW w:w="1249" w:type="dxa"/>
            <w:hideMark/>
          </w:tcPr>
          <w:p w14:paraId="189B005C"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65,57%</w:t>
            </w:r>
          </w:p>
        </w:tc>
        <w:tc>
          <w:tcPr>
            <w:tcW w:w="1249" w:type="dxa"/>
            <w:hideMark/>
          </w:tcPr>
          <w:p w14:paraId="0D697628"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66,42%</w:t>
            </w:r>
          </w:p>
        </w:tc>
        <w:tc>
          <w:tcPr>
            <w:tcW w:w="1178" w:type="dxa"/>
            <w:hideMark/>
          </w:tcPr>
          <w:p w14:paraId="21E6A0DE"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66,13%</w:t>
            </w:r>
          </w:p>
        </w:tc>
        <w:tc>
          <w:tcPr>
            <w:tcW w:w="1093" w:type="dxa"/>
            <w:hideMark/>
          </w:tcPr>
          <w:p w14:paraId="27B6314D"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70,61%</w:t>
            </w:r>
          </w:p>
        </w:tc>
        <w:tc>
          <w:tcPr>
            <w:tcW w:w="990" w:type="dxa"/>
            <w:hideMark/>
          </w:tcPr>
          <w:p w14:paraId="138E29D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82,17%</w:t>
            </w:r>
          </w:p>
        </w:tc>
      </w:tr>
      <w:tr w:rsidR="001D1F63" w:rsidRPr="001D1F63" w14:paraId="259E790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61DF85C"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Cagece</w:t>
            </w:r>
          </w:p>
        </w:tc>
        <w:tc>
          <w:tcPr>
            <w:tcW w:w="1248" w:type="dxa"/>
            <w:hideMark/>
          </w:tcPr>
          <w:p w14:paraId="16CD8CCF"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46,38%</w:t>
            </w:r>
          </w:p>
        </w:tc>
        <w:tc>
          <w:tcPr>
            <w:tcW w:w="1249" w:type="dxa"/>
            <w:hideMark/>
          </w:tcPr>
          <w:p w14:paraId="669F9B31"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34,54%</w:t>
            </w:r>
          </w:p>
        </w:tc>
        <w:tc>
          <w:tcPr>
            <w:tcW w:w="1249" w:type="dxa"/>
            <w:hideMark/>
          </w:tcPr>
          <w:p w14:paraId="14119745"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33,88%</w:t>
            </w:r>
          </w:p>
        </w:tc>
        <w:tc>
          <w:tcPr>
            <w:tcW w:w="1178" w:type="dxa"/>
            <w:hideMark/>
          </w:tcPr>
          <w:p w14:paraId="01E4FE33"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35,66%</w:t>
            </w:r>
          </w:p>
        </w:tc>
        <w:tc>
          <w:tcPr>
            <w:tcW w:w="1093" w:type="dxa"/>
            <w:hideMark/>
          </w:tcPr>
          <w:p w14:paraId="48F88C9F"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36,99%</w:t>
            </w:r>
          </w:p>
        </w:tc>
        <w:tc>
          <w:tcPr>
            <w:tcW w:w="990" w:type="dxa"/>
            <w:hideMark/>
          </w:tcPr>
          <w:p w14:paraId="02377C0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37,69%</w:t>
            </w:r>
          </w:p>
        </w:tc>
      </w:tr>
      <w:tr w:rsidR="001D1F63" w:rsidRPr="001D1F63" w14:paraId="030B6F3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B95E2E0"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Cagepa</w:t>
            </w:r>
          </w:p>
        </w:tc>
        <w:tc>
          <w:tcPr>
            <w:tcW w:w="1248" w:type="dxa"/>
            <w:hideMark/>
          </w:tcPr>
          <w:p w14:paraId="502D9A58"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41,63%</w:t>
            </w:r>
          </w:p>
        </w:tc>
        <w:tc>
          <w:tcPr>
            <w:tcW w:w="1249" w:type="dxa"/>
            <w:hideMark/>
          </w:tcPr>
          <w:p w14:paraId="0086FC30"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33,28%</w:t>
            </w:r>
          </w:p>
        </w:tc>
        <w:tc>
          <w:tcPr>
            <w:tcW w:w="1249" w:type="dxa"/>
            <w:hideMark/>
          </w:tcPr>
          <w:p w14:paraId="5585653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39,77%</w:t>
            </w:r>
          </w:p>
        </w:tc>
        <w:tc>
          <w:tcPr>
            <w:tcW w:w="1178" w:type="dxa"/>
            <w:hideMark/>
          </w:tcPr>
          <w:p w14:paraId="798926DA"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35,17%</w:t>
            </w:r>
          </w:p>
        </w:tc>
        <w:tc>
          <w:tcPr>
            <w:tcW w:w="1093" w:type="dxa"/>
            <w:hideMark/>
          </w:tcPr>
          <w:p w14:paraId="1DA47B20"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44,98%</w:t>
            </w:r>
          </w:p>
        </w:tc>
        <w:tc>
          <w:tcPr>
            <w:tcW w:w="990" w:type="dxa"/>
            <w:hideMark/>
          </w:tcPr>
          <w:p w14:paraId="4A142CE7"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47,44%</w:t>
            </w:r>
          </w:p>
        </w:tc>
      </w:tr>
      <w:tr w:rsidR="001D1F63" w:rsidRPr="001D1F63" w14:paraId="42DBBC0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B55309"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Casal</w:t>
            </w:r>
          </w:p>
        </w:tc>
        <w:tc>
          <w:tcPr>
            <w:tcW w:w="1248" w:type="dxa"/>
            <w:hideMark/>
          </w:tcPr>
          <w:p w14:paraId="0F3F6EDF"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28,99%</w:t>
            </w:r>
          </w:p>
        </w:tc>
        <w:tc>
          <w:tcPr>
            <w:tcW w:w="1249" w:type="dxa"/>
            <w:hideMark/>
          </w:tcPr>
          <w:p w14:paraId="0F8D0907"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29,74%</w:t>
            </w:r>
          </w:p>
        </w:tc>
        <w:tc>
          <w:tcPr>
            <w:tcW w:w="1249" w:type="dxa"/>
            <w:hideMark/>
          </w:tcPr>
          <w:p w14:paraId="30A004DF"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27,15%</w:t>
            </w:r>
          </w:p>
        </w:tc>
        <w:tc>
          <w:tcPr>
            <w:tcW w:w="1178" w:type="dxa"/>
            <w:hideMark/>
          </w:tcPr>
          <w:p w14:paraId="05E7A2C0"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20,21%</w:t>
            </w:r>
          </w:p>
        </w:tc>
        <w:tc>
          <w:tcPr>
            <w:tcW w:w="1093" w:type="dxa"/>
            <w:hideMark/>
          </w:tcPr>
          <w:p w14:paraId="225B5B05"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18,01%</w:t>
            </w:r>
          </w:p>
        </w:tc>
        <w:tc>
          <w:tcPr>
            <w:tcW w:w="990" w:type="dxa"/>
            <w:hideMark/>
          </w:tcPr>
          <w:p w14:paraId="25BF9C4B"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17,96%</w:t>
            </w:r>
          </w:p>
        </w:tc>
      </w:tr>
      <w:tr w:rsidR="001D1F63" w:rsidRPr="001D1F63" w14:paraId="6446EA8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2C9C0D3"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lastRenderedPageBreak/>
              <w:t>Casan</w:t>
            </w:r>
          </w:p>
        </w:tc>
        <w:tc>
          <w:tcPr>
            <w:tcW w:w="1248" w:type="dxa"/>
            <w:hideMark/>
          </w:tcPr>
          <w:p w14:paraId="10F7156E"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15,11%</w:t>
            </w:r>
          </w:p>
        </w:tc>
        <w:tc>
          <w:tcPr>
            <w:tcW w:w="1249" w:type="dxa"/>
            <w:hideMark/>
          </w:tcPr>
          <w:p w14:paraId="71FDC7F8"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17,36%</w:t>
            </w:r>
          </w:p>
        </w:tc>
        <w:tc>
          <w:tcPr>
            <w:tcW w:w="1249" w:type="dxa"/>
            <w:hideMark/>
          </w:tcPr>
          <w:p w14:paraId="2FED6FFA"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16,72%</w:t>
            </w:r>
          </w:p>
        </w:tc>
        <w:tc>
          <w:tcPr>
            <w:tcW w:w="1178" w:type="dxa"/>
            <w:hideMark/>
          </w:tcPr>
          <w:p w14:paraId="42ED9F77"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17,18%</w:t>
            </w:r>
          </w:p>
        </w:tc>
        <w:tc>
          <w:tcPr>
            <w:tcW w:w="1093" w:type="dxa"/>
            <w:hideMark/>
          </w:tcPr>
          <w:p w14:paraId="310B634F"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19,74%</w:t>
            </w:r>
          </w:p>
        </w:tc>
        <w:tc>
          <w:tcPr>
            <w:tcW w:w="990" w:type="dxa"/>
            <w:hideMark/>
          </w:tcPr>
          <w:p w14:paraId="1CEDA7B1"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20,39%</w:t>
            </w:r>
          </w:p>
        </w:tc>
      </w:tr>
      <w:tr w:rsidR="001D1F63" w:rsidRPr="001D1F63" w14:paraId="45C8AC0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FA0CE03"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Cedae</w:t>
            </w:r>
          </w:p>
        </w:tc>
        <w:tc>
          <w:tcPr>
            <w:tcW w:w="1248" w:type="dxa"/>
            <w:hideMark/>
          </w:tcPr>
          <w:p w14:paraId="270BF1B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33,07%</w:t>
            </w:r>
          </w:p>
        </w:tc>
        <w:tc>
          <w:tcPr>
            <w:tcW w:w="1249" w:type="dxa"/>
            <w:hideMark/>
          </w:tcPr>
          <w:p w14:paraId="10444B1A"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32,04%</w:t>
            </w:r>
          </w:p>
        </w:tc>
        <w:tc>
          <w:tcPr>
            <w:tcW w:w="1249" w:type="dxa"/>
            <w:hideMark/>
          </w:tcPr>
          <w:p w14:paraId="2701ED9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31,80%</w:t>
            </w:r>
          </w:p>
        </w:tc>
        <w:tc>
          <w:tcPr>
            <w:tcW w:w="1178" w:type="dxa"/>
            <w:hideMark/>
          </w:tcPr>
          <w:p w14:paraId="10040509"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30,62%</w:t>
            </w:r>
          </w:p>
        </w:tc>
        <w:tc>
          <w:tcPr>
            <w:tcW w:w="1093" w:type="dxa"/>
            <w:hideMark/>
          </w:tcPr>
          <w:p w14:paraId="0541DB9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30,76%</w:t>
            </w:r>
          </w:p>
        </w:tc>
        <w:tc>
          <w:tcPr>
            <w:tcW w:w="990" w:type="dxa"/>
            <w:hideMark/>
          </w:tcPr>
          <w:p w14:paraId="4A915DCF"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29,46%</w:t>
            </w:r>
          </w:p>
        </w:tc>
      </w:tr>
      <w:tr w:rsidR="001D1F63" w:rsidRPr="001D1F63" w14:paraId="4BBA75F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E7BB273"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Cesan</w:t>
            </w:r>
          </w:p>
        </w:tc>
        <w:tc>
          <w:tcPr>
            <w:tcW w:w="1248" w:type="dxa"/>
            <w:hideMark/>
          </w:tcPr>
          <w:p w14:paraId="2A79CAEF"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25,74%</w:t>
            </w:r>
          </w:p>
        </w:tc>
        <w:tc>
          <w:tcPr>
            <w:tcW w:w="1249" w:type="dxa"/>
            <w:hideMark/>
          </w:tcPr>
          <w:p w14:paraId="1D6AEE8B"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27,32%</w:t>
            </w:r>
          </w:p>
        </w:tc>
        <w:tc>
          <w:tcPr>
            <w:tcW w:w="1249" w:type="dxa"/>
            <w:hideMark/>
          </w:tcPr>
          <w:p w14:paraId="2A4E1B6C"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30,09%</w:t>
            </w:r>
          </w:p>
        </w:tc>
        <w:tc>
          <w:tcPr>
            <w:tcW w:w="1178" w:type="dxa"/>
            <w:hideMark/>
          </w:tcPr>
          <w:p w14:paraId="117EB84F"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31,96%</w:t>
            </w:r>
          </w:p>
        </w:tc>
        <w:tc>
          <w:tcPr>
            <w:tcW w:w="1093" w:type="dxa"/>
            <w:hideMark/>
          </w:tcPr>
          <w:p w14:paraId="4571596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30,66%</w:t>
            </w:r>
          </w:p>
        </w:tc>
        <w:tc>
          <w:tcPr>
            <w:tcW w:w="990" w:type="dxa"/>
            <w:hideMark/>
          </w:tcPr>
          <w:p w14:paraId="287FD927"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32,70%</w:t>
            </w:r>
          </w:p>
        </w:tc>
      </w:tr>
      <w:tr w:rsidR="001D1F63" w:rsidRPr="001D1F63" w14:paraId="0D82C02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B4DA6C1"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Compesa</w:t>
            </w:r>
          </w:p>
        </w:tc>
        <w:tc>
          <w:tcPr>
            <w:tcW w:w="1248" w:type="dxa"/>
            <w:hideMark/>
          </w:tcPr>
          <w:p w14:paraId="7D032243"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27,67%</w:t>
            </w:r>
          </w:p>
        </w:tc>
        <w:tc>
          <w:tcPr>
            <w:tcW w:w="1249" w:type="dxa"/>
            <w:hideMark/>
          </w:tcPr>
          <w:p w14:paraId="7C46509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26,47%</w:t>
            </w:r>
          </w:p>
        </w:tc>
        <w:tc>
          <w:tcPr>
            <w:tcW w:w="1249" w:type="dxa"/>
            <w:hideMark/>
          </w:tcPr>
          <w:p w14:paraId="308F5CA5"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25,62%</w:t>
            </w:r>
          </w:p>
        </w:tc>
        <w:tc>
          <w:tcPr>
            <w:tcW w:w="1178" w:type="dxa"/>
            <w:hideMark/>
          </w:tcPr>
          <w:p w14:paraId="06E1F60B"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26,47%</w:t>
            </w:r>
          </w:p>
        </w:tc>
        <w:tc>
          <w:tcPr>
            <w:tcW w:w="1093" w:type="dxa"/>
            <w:hideMark/>
          </w:tcPr>
          <w:p w14:paraId="25A8BE2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26,41%</w:t>
            </w:r>
          </w:p>
        </w:tc>
        <w:tc>
          <w:tcPr>
            <w:tcW w:w="990" w:type="dxa"/>
            <w:hideMark/>
          </w:tcPr>
          <w:p w14:paraId="5593431E"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27,19%</w:t>
            </w:r>
          </w:p>
        </w:tc>
      </w:tr>
      <w:tr w:rsidR="001D1F63" w:rsidRPr="001D1F63" w14:paraId="72F6C1E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C123B02"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Copasa</w:t>
            </w:r>
          </w:p>
        </w:tc>
        <w:tc>
          <w:tcPr>
            <w:tcW w:w="1248" w:type="dxa"/>
            <w:hideMark/>
          </w:tcPr>
          <w:p w14:paraId="126EA754"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25,84%</w:t>
            </w:r>
          </w:p>
        </w:tc>
        <w:tc>
          <w:tcPr>
            <w:tcW w:w="1249" w:type="dxa"/>
            <w:hideMark/>
          </w:tcPr>
          <w:p w14:paraId="3A15EEB3"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29,35%</w:t>
            </w:r>
          </w:p>
        </w:tc>
        <w:tc>
          <w:tcPr>
            <w:tcW w:w="1249" w:type="dxa"/>
            <w:hideMark/>
          </w:tcPr>
          <w:p w14:paraId="767310CE"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32,46%</w:t>
            </w:r>
          </w:p>
        </w:tc>
        <w:tc>
          <w:tcPr>
            <w:tcW w:w="1178" w:type="dxa"/>
            <w:hideMark/>
          </w:tcPr>
          <w:p w14:paraId="3758AF7D"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35,67%</w:t>
            </w:r>
          </w:p>
        </w:tc>
        <w:tc>
          <w:tcPr>
            <w:tcW w:w="1093" w:type="dxa"/>
            <w:hideMark/>
          </w:tcPr>
          <w:p w14:paraId="6051239A"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38,32%</w:t>
            </w:r>
          </w:p>
        </w:tc>
        <w:tc>
          <w:tcPr>
            <w:tcW w:w="990" w:type="dxa"/>
            <w:hideMark/>
          </w:tcPr>
          <w:p w14:paraId="23CFB8F1"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39,15%</w:t>
            </w:r>
          </w:p>
        </w:tc>
      </w:tr>
      <w:tr w:rsidR="001D1F63" w:rsidRPr="001D1F63" w14:paraId="30724CF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F799846"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Corsan</w:t>
            </w:r>
          </w:p>
        </w:tc>
        <w:tc>
          <w:tcPr>
            <w:tcW w:w="1248" w:type="dxa"/>
            <w:hideMark/>
          </w:tcPr>
          <w:p w14:paraId="76D3C238"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12,44%</w:t>
            </w:r>
          </w:p>
        </w:tc>
        <w:tc>
          <w:tcPr>
            <w:tcW w:w="1249" w:type="dxa"/>
            <w:hideMark/>
          </w:tcPr>
          <w:p w14:paraId="34CEC3DF"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12,82%</w:t>
            </w:r>
          </w:p>
        </w:tc>
        <w:tc>
          <w:tcPr>
            <w:tcW w:w="1249" w:type="dxa"/>
            <w:hideMark/>
          </w:tcPr>
          <w:p w14:paraId="7B3D20A5"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13,96%</w:t>
            </w:r>
          </w:p>
        </w:tc>
        <w:tc>
          <w:tcPr>
            <w:tcW w:w="1178" w:type="dxa"/>
            <w:hideMark/>
          </w:tcPr>
          <w:p w14:paraId="731A4396"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8,77%</w:t>
            </w:r>
          </w:p>
        </w:tc>
        <w:tc>
          <w:tcPr>
            <w:tcW w:w="1093" w:type="dxa"/>
            <w:hideMark/>
          </w:tcPr>
          <w:p w14:paraId="519FD630"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8,94%</w:t>
            </w:r>
          </w:p>
        </w:tc>
        <w:tc>
          <w:tcPr>
            <w:tcW w:w="990" w:type="dxa"/>
            <w:hideMark/>
          </w:tcPr>
          <w:p w14:paraId="7BE8E3A6"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13,36%</w:t>
            </w:r>
          </w:p>
        </w:tc>
      </w:tr>
      <w:tr w:rsidR="001D1F63" w:rsidRPr="001D1F63" w14:paraId="2336AF6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BFE9A49"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Cosanpa</w:t>
            </w:r>
          </w:p>
        </w:tc>
        <w:tc>
          <w:tcPr>
            <w:tcW w:w="1248" w:type="dxa"/>
            <w:hideMark/>
          </w:tcPr>
          <w:p w14:paraId="6171A91A"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0,59%</w:t>
            </w:r>
          </w:p>
        </w:tc>
        <w:tc>
          <w:tcPr>
            <w:tcW w:w="1249" w:type="dxa"/>
            <w:hideMark/>
          </w:tcPr>
          <w:p w14:paraId="60712854"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0,58%</w:t>
            </w:r>
          </w:p>
        </w:tc>
        <w:tc>
          <w:tcPr>
            <w:tcW w:w="1249" w:type="dxa"/>
            <w:hideMark/>
          </w:tcPr>
          <w:p w14:paraId="70250F35"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0,98%</w:t>
            </w:r>
          </w:p>
        </w:tc>
        <w:tc>
          <w:tcPr>
            <w:tcW w:w="1178" w:type="dxa"/>
            <w:hideMark/>
          </w:tcPr>
          <w:p w14:paraId="58C5454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0,73%</w:t>
            </w:r>
          </w:p>
        </w:tc>
        <w:tc>
          <w:tcPr>
            <w:tcW w:w="1093" w:type="dxa"/>
            <w:hideMark/>
          </w:tcPr>
          <w:p w14:paraId="22FFE40D"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0,97%</w:t>
            </w:r>
          </w:p>
        </w:tc>
        <w:tc>
          <w:tcPr>
            <w:tcW w:w="990" w:type="dxa"/>
            <w:hideMark/>
          </w:tcPr>
          <w:p w14:paraId="4DDC9B17"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0,69%</w:t>
            </w:r>
          </w:p>
        </w:tc>
      </w:tr>
      <w:tr w:rsidR="001D1F63" w:rsidRPr="001D1F63" w14:paraId="5DFD3C7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3F4BBEC"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Depasa</w:t>
            </w:r>
          </w:p>
        </w:tc>
        <w:tc>
          <w:tcPr>
            <w:tcW w:w="1248" w:type="dxa"/>
            <w:hideMark/>
          </w:tcPr>
          <w:p w14:paraId="5ED9FF9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249" w:type="dxa"/>
            <w:hideMark/>
          </w:tcPr>
          <w:p w14:paraId="6C2FEA52"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0,00%</w:t>
            </w:r>
          </w:p>
        </w:tc>
        <w:tc>
          <w:tcPr>
            <w:tcW w:w="1249" w:type="dxa"/>
            <w:hideMark/>
          </w:tcPr>
          <w:p w14:paraId="053D4627"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19,84%</w:t>
            </w:r>
          </w:p>
        </w:tc>
        <w:tc>
          <w:tcPr>
            <w:tcW w:w="1178" w:type="dxa"/>
            <w:hideMark/>
          </w:tcPr>
          <w:p w14:paraId="1AB8EB1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17,69%</w:t>
            </w:r>
          </w:p>
        </w:tc>
        <w:tc>
          <w:tcPr>
            <w:tcW w:w="1093" w:type="dxa"/>
            <w:hideMark/>
          </w:tcPr>
          <w:p w14:paraId="432059B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16,94%</w:t>
            </w:r>
          </w:p>
        </w:tc>
        <w:tc>
          <w:tcPr>
            <w:tcW w:w="990" w:type="dxa"/>
            <w:hideMark/>
          </w:tcPr>
          <w:p w14:paraId="4B1E21A3"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18,21%</w:t>
            </w:r>
          </w:p>
        </w:tc>
      </w:tr>
      <w:tr w:rsidR="001D1F63" w:rsidRPr="001D1F63" w14:paraId="6ED4C1F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7064BD2"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Deso</w:t>
            </w:r>
          </w:p>
        </w:tc>
        <w:tc>
          <w:tcPr>
            <w:tcW w:w="1248" w:type="dxa"/>
            <w:hideMark/>
          </w:tcPr>
          <w:p w14:paraId="27978AE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21,88%</w:t>
            </w:r>
          </w:p>
        </w:tc>
        <w:tc>
          <w:tcPr>
            <w:tcW w:w="1249" w:type="dxa"/>
            <w:hideMark/>
          </w:tcPr>
          <w:p w14:paraId="7BB8DB64"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22,08%</w:t>
            </w:r>
          </w:p>
        </w:tc>
        <w:tc>
          <w:tcPr>
            <w:tcW w:w="1249" w:type="dxa"/>
            <w:hideMark/>
          </w:tcPr>
          <w:p w14:paraId="7DC587DB"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22,06%</w:t>
            </w:r>
          </w:p>
        </w:tc>
        <w:tc>
          <w:tcPr>
            <w:tcW w:w="1178" w:type="dxa"/>
            <w:hideMark/>
          </w:tcPr>
          <w:p w14:paraId="1DF9D891"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22,99%</w:t>
            </w:r>
          </w:p>
        </w:tc>
        <w:tc>
          <w:tcPr>
            <w:tcW w:w="1093" w:type="dxa"/>
            <w:hideMark/>
          </w:tcPr>
          <w:p w14:paraId="14F5FDD5"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23,76%</w:t>
            </w:r>
          </w:p>
        </w:tc>
        <w:tc>
          <w:tcPr>
            <w:tcW w:w="990" w:type="dxa"/>
            <w:hideMark/>
          </w:tcPr>
          <w:p w14:paraId="3C178EF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25,43%</w:t>
            </w:r>
          </w:p>
        </w:tc>
      </w:tr>
      <w:tr w:rsidR="001D1F63" w:rsidRPr="001D1F63" w14:paraId="12E5D6A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321326F"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Embasa</w:t>
            </w:r>
          </w:p>
        </w:tc>
        <w:tc>
          <w:tcPr>
            <w:tcW w:w="1248" w:type="dxa"/>
            <w:hideMark/>
          </w:tcPr>
          <w:p w14:paraId="5B98BE2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43,79%</w:t>
            </w:r>
          </w:p>
        </w:tc>
        <w:tc>
          <w:tcPr>
            <w:tcW w:w="1249" w:type="dxa"/>
            <w:hideMark/>
          </w:tcPr>
          <w:p w14:paraId="0DC341A0"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46,50%</w:t>
            </w:r>
          </w:p>
        </w:tc>
        <w:tc>
          <w:tcPr>
            <w:tcW w:w="1249" w:type="dxa"/>
            <w:hideMark/>
          </w:tcPr>
          <w:p w14:paraId="16B942B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56,90%</w:t>
            </w:r>
          </w:p>
        </w:tc>
        <w:tc>
          <w:tcPr>
            <w:tcW w:w="1178" w:type="dxa"/>
            <w:hideMark/>
          </w:tcPr>
          <w:p w14:paraId="5C41F532"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50,59%</w:t>
            </w:r>
          </w:p>
        </w:tc>
        <w:tc>
          <w:tcPr>
            <w:tcW w:w="1093" w:type="dxa"/>
            <w:hideMark/>
          </w:tcPr>
          <w:p w14:paraId="6968634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50,19%</w:t>
            </w:r>
          </w:p>
        </w:tc>
        <w:tc>
          <w:tcPr>
            <w:tcW w:w="990" w:type="dxa"/>
            <w:hideMark/>
          </w:tcPr>
          <w:p w14:paraId="64B51B51"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51,26%</w:t>
            </w:r>
          </w:p>
        </w:tc>
      </w:tr>
      <w:tr w:rsidR="001D1F63" w:rsidRPr="001D1F63" w14:paraId="359F387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669AC67"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Sabesp</w:t>
            </w:r>
          </w:p>
        </w:tc>
        <w:tc>
          <w:tcPr>
            <w:tcW w:w="1248" w:type="dxa"/>
            <w:hideMark/>
          </w:tcPr>
          <w:p w14:paraId="6F07A110"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51,57%</w:t>
            </w:r>
          </w:p>
        </w:tc>
        <w:tc>
          <w:tcPr>
            <w:tcW w:w="1249" w:type="dxa"/>
            <w:hideMark/>
          </w:tcPr>
          <w:p w14:paraId="12BAE51E"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48,28%</w:t>
            </w:r>
          </w:p>
        </w:tc>
        <w:tc>
          <w:tcPr>
            <w:tcW w:w="1249" w:type="dxa"/>
            <w:hideMark/>
          </w:tcPr>
          <w:p w14:paraId="26F45E95"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51,86%</w:t>
            </w:r>
          </w:p>
        </w:tc>
        <w:tc>
          <w:tcPr>
            <w:tcW w:w="1178" w:type="dxa"/>
            <w:hideMark/>
          </w:tcPr>
          <w:p w14:paraId="07DD33D4"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50,90%</w:t>
            </w:r>
          </w:p>
        </w:tc>
        <w:tc>
          <w:tcPr>
            <w:tcW w:w="1093" w:type="dxa"/>
            <w:hideMark/>
          </w:tcPr>
          <w:p w14:paraId="4C19FA3F"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54,36%</w:t>
            </w:r>
          </w:p>
        </w:tc>
        <w:tc>
          <w:tcPr>
            <w:tcW w:w="990" w:type="dxa"/>
            <w:hideMark/>
          </w:tcPr>
          <w:p w14:paraId="1BA21F80"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59,59%</w:t>
            </w:r>
          </w:p>
        </w:tc>
      </w:tr>
      <w:tr w:rsidR="001D1F63" w:rsidRPr="001D1F63" w14:paraId="4D97591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845BADE"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Saneago</w:t>
            </w:r>
          </w:p>
        </w:tc>
        <w:tc>
          <w:tcPr>
            <w:tcW w:w="1248" w:type="dxa"/>
            <w:hideMark/>
          </w:tcPr>
          <w:p w14:paraId="661EB2B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42,95%</w:t>
            </w:r>
          </w:p>
        </w:tc>
        <w:tc>
          <w:tcPr>
            <w:tcW w:w="1249" w:type="dxa"/>
            <w:hideMark/>
          </w:tcPr>
          <w:p w14:paraId="42BBB934"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43,33%</w:t>
            </w:r>
          </w:p>
        </w:tc>
        <w:tc>
          <w:tcPr>
            <w:tcW w:w="1249" w:type="dxa"/>
            <w:hideMark/>
          </w:tcPr>
          <w:p w14:paraId="36BCD0BD"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43,77%</w:t>
            </w:r>
          </w:p>
        </w:tc>
        <w:tc>
          <w:tcPr>
            <w:tcW w:w="1178" w:type="dxa"/>
            <w:hideMark/>
          </w:tcPr>
          <w:p w14:paraId="04A0BC21"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45,14%</w:t>
            </w:r>
          </w:p>
        </w:tc>
        <w:tc>
          <w:tcPr>
            <w:tcW w:w="1093" w:type="dxa"/>
            <w:hideMark/>
          </w:tcPr>
          <w:p w14:paraId="255DECD2"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46,91%</w:t>
            </w:r>
          </w:p>
        </w:tc>
        <w:tc>
          <w:tcPr>
            <w:tcW w:w="990" w:type="dxa"/>
            <w:hideMark/>
          </w:tcPr>
          <w:p w14:paraId="1F52FBEC"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46,82%</w:t>
            </w:r>
          </w:p>
        </w:tc>
      </w:tr>
      <w:tr w:rsidR="001D1F63" w:rsidRPr="001D1F63" w14:paraId="4D97BB4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2417E5A"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val="es-CO" w:eastAsia="es-CO"/>
              </w:rPr>
              <w:t>Saneatins</w:t>
            </w:r>
          </w:p>
        </w:tc>
        <w:tc>
          <w:tcPr>
            <w:tcW w:w="1248" w:type="dxa"/>
            <w:hideMark/>
          </w:tcPr>
          <w:p w14:paraId="659928F8"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val="es-CO" w:eastAsia="es-CO"/>
              </w:rPr>
              <w:t>14,05%</w:t>
            </w:r>
          </w:p>
        </w:tc>
        <w:tc>
          <w:tcPr>
            <w:tcW w:w="1249" w:type="dxa"/>
            <w:hideMark/>
          </w:tcPr>
          <w:p w14:paraId="3FC5AFF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val="es-CO" w:eastAsia="es-CO"/>
              </w:rPr>
              <w:t>16,14%</w:t>
            </w:r>
          </w:p>
        </w:tc>
        <w:tc>
          <w:tcPr>
            <w:tcW w:w="1249" w:type="dxa"/>
            <w:hideMark/>
          </w:tcPr>
          <w:p w14:paraId="1DFCC34B"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val="es-CO" w:eastAsia="es-CO"/>
              </w:rPr>
              <w:t>14,56%</w:t>
            </w:r>
          </w:p>
        </w:tc>
        <w:tc>
          <w:tcPr>
            <w:tcW w:w="1178" w:type="dxa"/>
            <w:hideMark/>
          </w:tcPr>
          <w:p w14:paraId="04DCD3F0"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val="es-CO" w:eastAsia="es-CO"/>
              </w:rPr>
              <w:t>18,24%</w:t>
            </w:r>
          </w:p>
        </w:tc>
        <w:tc>
          <w:tcPr>
            <w:tcW w:w="1093" w:type="dxa"/>
            <w:hideMark/>
          </w:tcPr>
          <w:p w14:paraId="26BB60CD"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val="es-CO" w:eastAsia="es-CO"/>
              </w:rPr>
              <w:t>19,75%</w:t>
            </w:r>
          </w:p>
        </w:tc>
        <w:tc>
          <w:tcPr>
            <w:tcW w:w="990" w:type="dxa"/>
            <w:hideMark/>
          </w:tcPr>
          <w:p w14:paraId="7D7D5E4D"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val="es-CO" w:eastAsia="es-CO"/>
              </w:rPr>
              <w:t>23,96%</w:t>
            </w:r>
          </w:p>
        </w:tc>
      </w:tr>
      <w:tr w:rsidR="001D1F63" w:rsidRPr="001D1F63" w14:paraId="08F10C2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0F7ECF4"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Sanepar</w:t>
            </w:r>
          </w:p>
        </w:tc>
        <w:tc>
          <w:tcPr>
            <w:tcW w:w="1248" w:type="dxa"/>
            <w:hideMark/>
          </w:tcPr>
          <w:p w14:paraId="524A30E5"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60,62%</w:t>
            </w:r>
          </w:p>
        </w:tc>
        <w:tc>
          <w:tcPr>
            <w:tcW w:w="1249" w:type="dxa"/>
            <w:hideMark/>
          </w:tcPr>
          <w:p w14:paraId="03429C62"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62,08%</w:t>
            </w:r>
          </w:p>
        </w:tc>
        <w:tc>
          <w:tcPr>
            <w:tcW w:w="1249" w:type="dxa"/>
            <w:hideMark/>
          </w:tcPr>
          <w:p w14:paraId="2D761140"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63,33%</w:t>
            </w:r>
          </w:p>
        </w:tc>
        <w:tc>
          <w:tcPr>
            <w:tcW w:w="1178" w:type="dxa"/>
            <w:hideMark/>
          </w:tcPr>
          <w:p w14:paraId="2580A031"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65,03%</w:t>
            </w:r>
          </w:p>
        </w:tc>
        <w:tc>
          <w:tcPr>
            <w:tcW w:w="1093" w:type="dxa"/>
            <w:hideMark/>
          </w:tcPr>
          <w:p w14:paraId="528E3D69"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66,29%</w:t>
            </w:r>
          </w:p>
        </w:tc>
        <w:tc>
          <w:tcPr>
            <w:tcW w:w="990" w:type="dxa"/>
            <w:hideMark/>
          </w:tcPr>
          <w:p w14:paraId="35D6B52B" w14:textId="77777777" w:rsidR="001D1F63" w:rsidRPr="001D1F63" w:rsidRDefault="001D1F63" w:rsidP="001D1F63">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1D1F63">
              <w:rPr>
                <w:color w:val="000000"/>
                <w:sz w:val="22"/>
                <w:lang w:eastAsia="es-CO"/>
              </w:rPr>
              <w:t>68,14%</w:t>
            </w:r>
          </w:p>
        </w:tc>
      </w:tr>
      <w:tr w:rsidR="001D1F63" w:rsidRPr="001D1F63" w14:paraId="2DBC736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26C5D0F" w14:textId="77777777" w:rsidR="001D1F63" w:rsidRPr="001D1F63" w:rsidRDefault="001D1F63" w:rsidP="001D1F63">
            <w:pPr>
              <w:spacing w:before="0" w:beforeAutospacing="0" w:after="0" w:afterAutospacing="0" w:line="240" w:lineRule="auto"/>
              <w:ind w:firstLine="0"/>
              <w:jc w:val="left"/>
              <w:rPr>
                <w:color w:val="000000"/>
                <w:sz w:val="22"/>
                <w:lang w:val="es-CO" w:eastAsia="es-CO"/>
              </w:rPr>
            </w:pPr>
            <w:r w:rsidRPr="001D1F63">
              <w:rPr>
                <w:color w:val="000000"/>
                <w:sz w:val="22"/>
                <w:lang w:eastAsia="es-CO"/>
              </w:rPr>
              <w:t>Sanesul</w:t>
            </w:r>
          </w:p>
        </w:tc>
        <w:tc>
          <w:tcPr>
            <w:tcW w:w="1248" w:type="dxa"/>
            <w:hideMark/>
          </w:tcPr>
          <w:p w14:paraId="323ACBF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10,70%</w:t>
            </w:r>
          </w:p>
        </w:tc>
        <w:tc>
          <w:tcPr>
            <w:tcW w:w="1249" w:type="dxa"/>
            <w:hideMark/>
          </w:tcPr>
          <w:p w14:paraId="14AF6919"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13,70%</w:t>
            </w:r>
          </w:p>
        </w:tc>
        <w:tc>
          <w:tcPr>
            <w:tcW w:w="1249" w:type="dxa"/>
            <w:hideMark/>
          </w:tcPr>
          <w:p w14:paraId="285F978F"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15,42%</w:t>
            </w:r>
          </w:p>
        </w:tc>
        <w:tc>
          <w:tcPr>
            <w:tcW w:w="1178" w:type="dxa"/>
            <w:hideMark/>
          </w:tcPr>
          <w:p w14:paraId="76461A9E"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18,35%</w:t>
            </w:r>
          </w:p>
        </w:tc>
        <w:tc>
          <w:tcPr>
            <w:tcW w:w="1093" w:type="dxa"/>
            <w:hideMark/>
          </w:tcPr>
          <w:p w14:paraId="7A781F26"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21,62%</w:t>
            </w:r>
          </w:p>
        </w:tc>
        <w:tc>
          <w:tcPr>
            <w:tcW w:w="990" w:type="dxa"/>
            <w:hideMark/>
          </w:tcPr>
          <w:p w14:paraId="6D4FE977" w14:textId="77777777" w:rsidR="001D1F63" w:rsidRPr="001D1F63" w:rsidRDefault="001D1F63" w:rsidP="001D1F63">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1D1F63">
              <w:rPr>
                <w:color w:val="000000"/>
                <w:sz w:val="22"/>
                <w:lang w:eastAsia="es-CO"/>
              </w:rPr>
              <w:t>24,64%</w:t>
            </w:r>
          </w:p>
        </w:tc>
      </w:tr>
    </w:tbl>
    <w:p w14:paraId="078CC0ED" w14:textId="429FB933" w:rsidR="00993062" w:rsidRPr="00042F25" w:rsidRDefault="00993062" w:rsidP="00993062">
      <w:pPr>
        <w:pStyle w:val="Descripcin"/>
        <w:spacing w:before="0" w:beforeAutospacing="0"/>
        <w:jc w:val="left"/>
        <w:rPr>
          <w:sz w:val="20"/>
        </w:rPr>
      </w:pPr>
      <w:r w:rsidRPr="00042F25">
        <w:rPr>
          <w:sz w:val="20"/>
        </w:rPr>
        <w:t>Fonte: SNIS 2015. Elaborado por: GO Associados</w:t>
      </w:r>
    </w:p>
    <w:p w14:paraId="29A85863" w14:textId="77777777" w:rsidR="00B352AB" w:rsidRPr="00042F25" w:rsidRDefault="00B352AB" w:rsidP="00B352AB"/>
    <w:p w14:paraId="3A538CAE" w14:textId="59FAA897" w:rsidR="00B352AB" w:rsidRPr="00042F25" w:rsidRDefault="00B352AB" w:rsidP="00C71C89">
      <w:pPr>
        <w:pStyle w:val="Ttulo2"/>
        <w:ind w:left="1427"/>
      </w:pPr>
      <w:bookmarkStart w:id="22" w:name="_Toc493094926"/>
      <w:r w:rsidRPr="00042F25">
        <w:t>Índice</w:t>
      </w:r>
      <w:r w:rsidR="000B4033" w:rsidRPr="00042F25">
        <w:t>s</w:t>
      </w:r>
      <w:r w:rsidRPr="00042F25">
        <w:t xml:space="preserve"> de atendimento</w:t>
      </w:r>
      <w:bookmarkEnd w:id="22"/>
    </w:p>
    <w:p w14:paraId="6CF7BBD4" w14:textId="39DF482D" w:rsidR="00370974" w:rsidRDefault="000969B4" w:rsidP="005E171F">
      <w:r w:rsidRPr="00042F25">
        <w:t xml:space="preserve">Os índices de </w:t>
      </w:r>
      <w:r w:rsidR="00463C30" w:rsidRPr="00042F25">
        <w:t>atendimento</w:t>
      </w:r>
      <w:r w:rsidR="00E30740" w:rsidRPr="00042F25">
        <w:t xml:space="preserve"> podem ser dividido</w:t>
      </w:r>
      <w:r w:rsidRPr="00042F25">
        <w:t xml:space="preserve">s em </w:t>
      </w:r>
      <w:r w:rsidR="00463C30" w:rsidRPr="00042F25">
        <w:t>quatro</w:t>
      </w:r>
      <w:r w:rsidRPr="00042F25">
        <w:t xml:space="preserve"> </w:t>
      </w:r>
      <w:r w:rsidR="00463C30" w:rsidRPr="00042F25">
        <w:t>parâmetros</w:t>
      </w:r>
      <w:r w:rsidR="00B56CA5" w:rsidRPr="00042F25">
        <w:t>: o primeiro</w:t>
      </w:r>
      <w:r w:rsidRPr="00042F25">
        <w:t xml:space="preserve"> seria o valor </w:t>
      </w:r>
      <w:r w:rsidR="00B56CA5" w:rsidRPr="00042F25">
        <w:t>urbano de água (IN0</w:t>
      </w:r>
      <w:r w:rsidRPr="00042F25">
        <w:t>2</w:t>
      </w:r>
      <w:r w:rsidR="00B56CA5" w:rsidRPr="00042F25">
        <w:t>3</w:t>
      </w:r>
      <w:r w:rsidRPr="00042F25">
        <w:t>)</w:t>
      </w:r>
      <w:r w:rsidR="00BF6582" w:rsidRPr="00042F25">
        <w:t>,</w:t>
      </w:r>
      <w:r w:rsidRPr="00042F25">
        <w:t xml:space="preserve"> o</w:t>
      </w:r>
      <w:r w:rsidR="00B56CA5" w:rsidRPr="00042F25">
        <w:t xml:space="preserve"> segundo</w:t>
      </w:r>
      <w:r w:rsidRPr="00042F25">
        <w:t xml:space="preserve"> seria o valor </w:t>
      </w:r>
      <w:r w:rsidR="00B56CA5" w:rsidRPr="00042F25">
        <w:t>total de água (IN055</w:t>
      </w:r>
      <w:r w:rsidRPr="00042F25">
        <w:t>)</w:t>
      </w:r>
      <w:r w:rsidR="00BF6582" w:rsidRPr="00042F25">
        <w:t xml:space="preserve">, </w:t>
      </w:r>
      <w:r w:rsidR="00B56CA5" w:rsidRPr="00042F25">
        <w:t>o terceiro seria o valor urbano de esgoto referido aos municípios atendidos com água (IN024) e o último seria o valor total de esgoto referido aos muni</w:t>
      </w:r>
      <w:r w:rsidR="000B4A06" w:rsidRPr="00042F25">
        <w:t>cípios atendidos com água (IN056</w:t>
      </w:r>
      <w:r w:rsidR="00B56CA5" w:rsidRPr="00042F25">
        <w:t xml:space="preserve">), todos </w:t>
      </w:r>
      <w:r w:rsidR="00BF6582" w:rsidRPr="00042F25">
        <w:t>expresso</w:t>
      </w:r>
      <w:r w:rsidR="00B56CA5" w:rsidRPr="00042F25">
        <w:t xml:space="preserve">s em </w:t>
      </w:r>
      <w:r w:rsidR="00370974">
        <w:t>percentagem</w:t>
      </w:r>
      <w:r w:rsidRPr="00042F25">
        <w:t xml:space="preserve">. </w:t>
      </w:r>
    </w:p>
    <w:p w14:paraId="6CF72724" w14:textId="76EDB63D" w:rsidR="005E171F" w:rsidRPr="00042F25" w:rsidRDefault="000969B4" w:rsidP="005E171F">
      <w:r w:rsidRPr="00042F25">
        <w:t xml:space="preserve">Os </w:t>
      </w:r>
      <w:r w:rsidR="000B4A06" w:rsidRPr="00042F25">
        <w:t xml:space="preserve">dois </w:t>
      </w:r>
      <w:r w:rsidRPr="00042F25">
        <w:t>índices</w:t>
      </w:r>
      <w:r w:rsidR="000B4A06" w:rsidRPr="00042F25">
        <w:t xml:space="preserve"> </w:t>
      </w:r>
      <w:r w:rsidR="005E171F" w:rsidRPr="00042F25">
        <w:t xml:space="preserve">urbanos (IN023 e IN024) </w:t>
      </w:r>
      <w:r w:rsidRPr="00042F25">
        <w:t xml:space="preserve">são calculados através </w:t>
      </w:r>
      <w:r w:rsidR="005E171F" w:rsidRPr="00042F25">
        <w:t>da população urbana residente do(s) município(s) com abastecimento de água (GE06a), assim como da população urbana atendida com abastecimento de água (AG026) e com esgotamento sanitário (ES026), respectivamente, enquanto que nos índices totais (IN055 e IN056) a população total residente do(s) município(s) com abastecimento de água (GE12a), assim como a população total atendida com abastecimento de água (AG001) e com esgotamento sanitário (ES</w:t>
      </w:r>
      <w:r w:rsidR="00305599" w:rsidRPr="00042F25">
        <w:t>001), respectivamente, são usada</w:t>
      </w:r>
      <w:r w:rsidR="005E171F" w:rsidRPr="00042F25">
        <w:t>s:</w:t>
      </w:r>
    </w:p>
    <w:p w14:paraId="7FC931F6" w14:textId="6E1FC783" w:rsidR="000969B4" w:rsidRPr="00042F25" w:rsidRDefault="000969B4" w:rsidP="000969B4">
      <w:pPr>
        <w:jc w:val="center"/>
      </w:pPr>
      <m:oMathPara>
        <m:oMath>
          <m:r>
            <w:rPr>
              <w:rFonts w:ascii="Cambria Math" w:hAnsi="Cambria Math"/>
            </w:rPr>
            <m:t xml:space="preserve">IN023= </m:t>
          </m:r>
          <m:f>
            <m:fPr>
              <m:ctrlPr>
                <w:rPr>
                  <w:rFonts w:ascii="Cambria Math" w:hAnsi="Cambria Math"/>
                  <w:i/>
                </w:rPr>
              </m:ctrlPr>
            </m:fPr>
            <m:num>
              <m:r>
                <w:rPr>
                  <w:rFonts w:ascii="Cambria Math" w:hAnsi="Cambria Math"/>
                </w:rPr>
                <m:t>AG026</m:t>
              </m:r>
            </m:num>
            <m:den>
              <m:r>
                <w:rPr>
                  <w:rFonts w:ascii="Cambria Math" w:hAnsi="Cambria Math"/>
                </w:rPr>
                <m:t>GE06a</m:t>
              </m:r>
            </m:den>
          </m:f>
          <m:r>
            <w:rPr>
              <w:rFonts w:ascii="Cambria Math" w:hAnsi="Cambria Math"/>
            </w:rPr>
            <m:t>*100</m:t>
          </m:r>
        </m:oMath>
      </m:oMathPara>
    </w:p>
    <w:p w14:paraId="648E9F1B" w14:textId="625B6BB4" w:rsidR="000969B4" w:rsidRPr="00042F25" w:rsidRDefault="000969B4" w:rsidP="000969B4">
      <w:pPr>
        <w:rPr>
          <w:rFonts w:ascii="Cambria Math" w:hAnsi="Cambria Math"/>
          <w:i/>
        </w:rPr>
      </w:pPr>
      <m:oMathPara>
        <m:oMathParaPr>
          <m:jc m:val="center"/>
        </m:oMathParaPr>
        <m:oMath>
          <m:r>
            <w:rPr>
              <w:rFonts w:ascii="Cambria Math" w:hAnsi="Cambria Math"/>
            </w:rPr>
            <w:lastRenderedPageBreak/>
            <m:t xml:space="preserve">IN055= </m:t>
          </m:r>
          <m:f>
            <m:fPr>
              <m:ctrlPr>
                <w:rPr>
                  <w:rFonts w:ascii="Cambria Math" w:hAnsi="Cambria Math"/>
                  <w:i/>
                </w:rPr>
              </m:ctrlPr>
            </m:fPr>
            <m:num>
              <m:r>
                <w:rPr>
                  <w:rFonts w:ascii="Cambria Math" w:hAnsi="Cambria Math"/>
                </w:rPr>
                <m:t>AG001</m:t>
              </m:r>
            </m:num>
            <m:den>
              <m:r>
                <w:rPr>
                  <w:rFonts w:ascii="Cambria Math" w:hAnsi="Cambria Math"/>
                </w:rPr>
                <m:t>GE12a</m:t>
              </m:r>
            </m:den>
          </m:f>
          <m:r>
            <w:rPr>
              <w:rFonts w:ascii="Cambria Math" w:hAnsi="Cambria Math"/>
            </w:rPr>
            <m:t>*100</m:t>
          </m:r>
        </m:oMath>
      </m:oMathPara>
    </w:p>
    <w:p w14:paraId="4AC24511" w14:textId="0468A948" w:rsidR="000069CE" w:rsidRPr="00042F25" w:rsidRDefault="000069CE" w:rsidP="000069CE">
      <w:pPr>
        <w:jc w:val="center"/>
      </w:pPr>
      <m:oMathPara>
        <m:oMath>
          <m:r>
            <w:rPr>
              <w:rFonts w:ascii="Cambria Math" w:hAnsi="Cambria Math"/>
            </w:rPr>
            <m:t xml:space="preserve">IN024= </m:t>
          </m:r>
          <m:f>
            <m:fPr>
              <m:ctrlPr>
                <w:rPr>
                  <w:rFonts w:ascii="Cambria Math" w:hAnsi="Cambria Math"/>
                  <w:i/>
                </w:rPr>
              </m:ctrlPr>
            </m:fPr>
            <m:num>
              <m:r>
                <w:rPr>
                  <w:rFonts w:ascii="Cambria Math" w:hAnsi="Cambria Math"/>
                </w:rPr>
                <m:t>ES026</m:t>
              </m:r>
            </m:num>
            <m:den>
              <m:r>
                <w:rPr>
                  <w:rFonts w:ascii="Cambria Math" w:hAnsi="Cambria Math"/>
                </w:rPr>
                <m:t>GE06a</m:t>
              </m:r>
            </m:den>
          </m:f>
          <m:r>
            <w:rPr>
              <w:rFonts w:ascii="Cambria Math" w:hAnsi="Cambria Math"/>
            </w:rPr>
            <m:t>*100</m:t>
          </m:r>
        </m:oMath>
      </m:oMathPara>
    </w:p>
    <w:p w14:paraId="683FC03D" w14:textId="4275D241" w:rsidR="000069CE" w:rsidRPr="00042F25" w:rsidRDefault="000069CE" w:rsidP="000069CE">
      <w:pPr>
        <w:rPr>
          <w:rFonts w:ascii="Cambria Math" w:hAnsi="Cambria Math"/>
          <w:i/>
        </w:rPr>
      </w:pPr>
      <m:oMathPara>
        <m:oMath>
          <m:r>
            <w:rPr>
              <w:rFonts w:ascii="Cambria Math" w:hAnsi="Cambria Math"/>
            </w:rPr>
            <m:t xml:space="preserve">IN056= </m:t>
          </m:r>
          <m:f>
            <m:fPr>
              <m:ctrlPr>
                <w:rPr>
                  <w:rFonts w:ascii="Cambria Math" w:hAnsi="Cambria Math"/>
                  <w:i/>
                </w:rPr>
              </m:ctrlPr>
            </m:fPr>
            <m:num>
              <m:r>
                <w:rPr>
                  <w:rFonts w:ascii="Cambria Math" w:hAnsi="Cambria Math"/>
                </w:rPr>
                <m:t>ES001</m:t>
              </m:r>
            </m:num>
            <m:den>
              <m:r>
                <w:rPr>
                  <w:rFonts w:ascii="Cambria Math" w:hAnsi="Cambria Math"/>
                </w:rPr>
                <m:t>GE12a</m:t>
              </m:r>
            </m:den>
          </m:f>
          <m:r>
            <w:rPr>
              <w:rFonts w:ascii="Cambria Math" w:hAnsi="Cambria Math"/>
            </w:rPr>
            <m:t>*100</m:t>
          </m:r>
        </m:oMath>
      </m:oMathPara>
    </w:p>
    <w:p w14:paraId="187536AD" w14:textId="579361A1" w:rsidR="00370974" w:rsidRDefault="008E5509" w:rsidP="002A5B30">
      <w:r w:rsidRPr="00042F25">
        <w:t>A implantação ou melhoria dos serviços de abastecimento de água</w:t>
      </w:r>
      <w:r w:rsidR="00DA4A3B" w:rsidRPr="00042F25">
        <w:t xml:space="preserve"> e esgoto</w:t>
      </w:r>
      <w:r w:rsidRPr="00042F25">
        <w:t xml:space="preserve"> é de vital importância para que a população satisfaça, de maneira segura, as necessidades essenciais par</w:t>
      </w:r>
      <w:r w:rsidR="00DA4A3B" w:rsidRPr="00042F25">
        <w:t>a sua sobrevivência</w:t>
      </w:r>
      <w:r w:rsidRPr="00042F25">
        <w:t xml:space="preserve">. Além disso, traz uma diminuição na incidência das doenças </w:t>
      </w:r>
      <w:r w:rsidR="001A7418" w:rsidRPr="00EA348F">
        <w:t>de veiculação hídrica</w:t>
      </w:r>
      <w:r w:rsidRPr="00042F25">
        <w:t xml:space="preserve">. </w:t>
      </w:r>
      <w:r w:rsidR="002A5B30" w:rsidRPr="00042F25">
        <w:t xml:space="preserve"> </w:t>
      </w:r>
    </w:p>
    <w:p w14:paraId="14F8DFBD" w14:textId="138A6E4E" w:rsidR="00F255E9" w:rsidRDefault="00F255E9" w:rsidP="002A5B30">
      <w:r>
        <w:t xml:space="preserve">Em 2015 para a amostra de empresas a média de atendimento de agua foi de 86% urbana e 73,5% total, </w:t>
      </w:r>
      <w:r w:rsidR="00FE6784">
        <w:t>enquanto</w:t>
      </w:r>
      <w:r>
        <w:t xml:space="preserve"> o atendimento urbano de esgoto foi de 34,2% e o total de 29,15%.</w:t>
      </w:r>
    </w:p>
    <w:p w14:paraId="21C90939" w14:textId="2569A114" w:rsidR="00B352AB" w:rsidRPr="00042F25" w:rsidRDefault="00B352AB" w:rsidP="002A5B30">
      <w:r w:rsidRPr="00042F25">
        <w:t>A evolução deste</w:t>
      </w:r>
      <w:r w:rsidR="00DA4A3B" w:rsidRPr="00042F25">
        <w:t>s</w:t>
      </w:r>
      <w:r w:rsidRPr="00042F25">
        <w:t xml:space="preserve"> índice</w:t>
      </w:r>
      <w:r w:rsidR="00DA4A3B" w:rsidRPr="00042F25">
        <w:t>s</w:t>
      </w:r>
      <w:r w:rsidRPr="00042F25">
        <w:t xml:space="preserve"> de 2010 a 2015 nas Companhias E</w:t>
      </w:r>
      <w:r w:rsidR="005A75BF" w:rsidRPr="00042F25">
        <w:t>staduais de Saneamento Básico</w:t>
      </w:r>
      <w:r w:rsidRPr="00042F25">
        <w:t xml:space="preserve"> mostra</w:t>
      </w:r>
      <w:r w:rsidR="008945F1" w:rsidRPr="00042F25">
        <w:t xml:space="preserve"> </w:t>
      </w:r>
      <w:r w:rsidR="00902130" w:rsidRPr="00042F25">
        <w:t xml:space="preserve">que </w:t>
      </w:r>
      <w:r w:rsidR="00E64030" w:rsidRPr="00042F25">
        <w:t>as empresas</w:t>
      </w:r>
      <w:r w:rsidR="008945F1" w:rsidRPr="00042F25">
        <w:t xml:space="preserve"> não </w:t>
      </w:r>
      <w:r w:rsidR="00E64030" w:rsidRPr="00042F25">
        <w:t>apresentaram</w:t>
      </w:r>
      <w:r w:rsidR="008945F1" w:rsidRPr="00042F25">
        <w:t xml:space="preserve"> aumento ou diminuição expressiv</w:t>
      </w:r>
      <w:r w:rsidR="00902130" w:rsidRPr="00042F25">
        <w:t>a dos índices nos últimos anos, s</w:t>
      </w:r>
      <w:r w:rsidR="008945F1" w:rsidRPr="00042F25">
        <w:t>endo</w:t>
      </w:r>
      <w:r w:rsidR="00902130" w:rsidRPr="00042F25">
        <w:t xml:space="preserve"> qu</w:t>
      </w:r>
      <w:r w:rsidR="00F255E9">
        <w:t xml:space="preserve">e em média observa-se incremento de atendimento menor a 6 pontos percentuais para o total do período. </w:t>
      </w:r>
    </w:p>
    <w:p w14:paraId="180A5DFD" w14:textId="12CF7AA7" w:rsidR="00117BE1" w:rsidRDefault="00117BE1" w:rsidP="00117BE1">
      <w:pPr>
        <w:pStyle w:val="Descripcin"/>
      </w:pPr>
      <w:bookmarkStart w:id="23" w:name="_Toc493222475"/>
      <w:r w:rsidRPr="00042F25">
        <w:t xml:space="preserve">Quadro </w:t>
      </w:r>
      <w:fldSimple w:instr=" SEQ Quadro \* ARABIC ">
        <w:r w:rsidR="00B64D1C" w:rsidRPr="00042F25">
          <w:rPr>
            <w:noProof/>
          </w:rPr>
          <w:t>12</w:t>
        </w:r>
      </w:fldSimple>
      <w:r w:rsidRPr="00042F25">
        <w:t xml:space="preserve"> – Índice de Atendimento Urbano de Água (IN023)</w:t>
      </w:r>
      <w:bookmarkEnd w:id="23"/>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370974" w:rsidRPr="00370974" w14:paraId="245C0C6F"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12E673C" w14:textId="77777777" w:rsidR="00370974" w:rsidRPr="00370974" w:rsidRDefault="00370974" w:rsidP="00370974">
            <w:pPr>
              <w:spacing w:before="0" w:beforeAutospacing="0" w:after="0" w:afterAutospacing="0" w:line="240" w:lineRule="auto"/>
              <w:ind w:firstLine="0"/>
              <w:jc w:val="left"/>
              <w:rPr>
                <w:b w:val="0"/>
                <w:bCs w:val="0"/>
                <w:color w:val="FFFFFF"/>
                <w:sz w:val="22"/>
                <w:lang w:val="es-CO" w:eastAsia="es-CO"/>
              </w:rPr>
            </w:pPr>
            <w:r w:rsidRPr="00370974">
              <w:rPr>
                <w:b w:val="0"/>
                <w:bCs w:val="0"/>
                <w:color w:val="FFFFFF"/>
                <w:sz w:val="22"/>
                <w:lang w:eastAsia="es-CO"/>
              </w:rPr>
              <w:t>Empresa</w:t>
            </w:r>
          </w:p>
        </w:tc>
        <w:tc>
          <w:tcPr>
            <w:tcW w:w="1248" w:type="dxa"/>
            <w:hideMark/>
          </w:tcPr>
          <w:p w14:paraId="1C3B67BA"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2010</w:t>
            </w:r>
          </w:p>
        </w:tc>
        <w:tc>
          <w:tcPr>
            <w:tcW w:w="1249" w:type="dxa"/>
            <w:hideMark/>
          </w:tcPr>
          <w:p w14:paraId="2E071906"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2011</w:t>
            </w:r>
          </w:p>
        </w:tc>
        <w:tc>
          <w:tcPr>
            <w:tcW w:w="1249" w:type="dxa"/>
            <w:hideMark/>
          </w:tcPr>
          <w:p w14:paraId="6157B579"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2012</w:t>
            </w:r>
          </w:p>
        </w:tc>
        <w:tc>
          <w:tcPr>
            <w:tcW w:w="1178" w:type="dxa"/>
            <w:hideMark/>
          </w:tcPr>
          <w:p w14:paraId="7CD9C8EE"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2013</w:t>
            </w:r>
          </w:p>
        </w:tc>
        <w:tc>
          <w:tcPr>
            <w:tcW w:w="1093" w:type="dxa"/>
            <w:hideMark/>
          </w:tcPr>
          <w:p w14:paraId="49FE5AD5"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2014</w:t>
            </w:r>
          </w:p>
        </w:tc>
        <w:tc>
          <w:tcPr>
            <w:tcW w:w="990" w:type="dxa"/>
            <w:hideMark/>
          </w:tcPr>
          <w:p w14:paraId="3DEF6755"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2015</w:t>
            </w:r>
          </w:p>
        </w:tc>
      </w:tr>
      <w:tr w:rsidR="00370974" w:rsidRPr="00370974" w14:paraId="6A37763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A55CF0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Agespisa</w:t>
            </w:r>
          </w:p>
        </w:tc>
        <w:tc>
          <w:tcPr>
            <w:tcW w:w="1248" w:type="dxa"/>
            <w:hideMark/>
          </w:tcPr>
          <w:p w14:paraId="48F3E4B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92,70%</w:t>
            </w:r>
          </w:p>
        </w:tc>
        <w:tc>
          <w:tcPr>
            <w:tcW w:w="1249" w:type="dxa"/>
            <w:hideMark/>
          </w:tcPr>
          <w:p w14:paraId="4F99D13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92,70%</w:t>
            </w:r>
          </w:p>
        </w:tc>
        <w:tc>
          <w:tcPr>
            <w:tcW w:w="1249" w:type="dxa"/>
            <w:hideMark/>
          </w:tcPr>
          <w:p w14:paraId="5AFB0BA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94,60%</w:t>
            </w:r>
          </w:p>
        </w:tc>
        <w:tc>
          <w:tcPr>
            <w:tcW w:w="1178" w:type="dxa"/>
            <w:hideMark/>
          </w:tcPr>
          <w:p w14:paraId="6BFC0BF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94,92%</w:t>
            </w:r>
          </w:p>
        </w:tc>
        <w:tc>
          <w:tcPr>
            <w:tcW w:w="1093" w:type="dxa"/>
            <w:hideMark/>
          </w:tcPr>
          <w:p w14:paraId="3F64094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96,22%</w:t>
            </w:r>
          </w:p>
        </w:tc>
        <w:tc>
          <w:tcPr>
            <w:tcW w:w="990" w:type="dxa"/>
            <w:hideMark/>
          </w:tcPr>
          <w:p w14:paraId="7BC5B18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96,18%</w:t>
            </w:r>
          </w:p>
        </w:tc>
      </w:tr>
      <w:tr w:rsidR="00370974" w:rsidRPr="00370974" w14:paraId="7B9B12C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CBFA3A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Caema</w:t>
            </w:r>
          </w:p>
        </w:tc>
        <w:tc>
          <w:tcPr>
            <w:tcW w:w="1248" w:type="dxa"/>
            <w:hideMark/>
          </w:tcPr>
          <w:p w14:paraId="0EF61EE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68,20%</w:t>
            </w:r>
          </w:p>
        </w:tc>
        <w:tc>
          <w:tcPr>
            <w:tcW w:w="1249" w:type="dxa"/>
            <w:hideMark/>
          </w:tcPr>
          <w:p w14:paraId="130D3B4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69,80%</w:t>
            </w:r>
          </w:p>
        </w:tc>
        <w:tc>
          <w:tcPr>
            <w:tcW w:w="1249" w:type="dxa"/>
            <w:hideMark/>
          </w:tcPr>
          <w:p w14:paraId="7DA6AED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68,90%</w:t>
            </w:r>
          </w:p>
        </w:tc>
        <w:tc>
          <w:tcPr>
            <w:tcW w:w="1178" w:type="dxa"/>
            <w:hideMark/>
          </w:tcPr>
          <w:p w14:paraId="7E8F18F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71,23%</w:t>
            </w:r>
          </w:p>
        </w:tc>
        <w:tc>
          <w:tcPr>
            <w:tcW w:w="1093" w:type="dxa"/>
            <w:hideMark/>
          </w:tcPr>
          <w:p w14:paraId="52BEB7D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70,42%</w:t>
            </w:r>
          </w:p>
        </w:tc>
        <w:tc>
          <w:tcPr>
            <w:tcW w:w="990" w:type="dxa"/>
            <w:hideMark/>
          </w:tcPr>
          <w:p w14:paraId="799F9EC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72,86%</w:t>
            </w:r>
          </w:p>
        </w:tc>
      </w:tr>
      <w:tr w:rsidR="00370974" w:rsidRPr="00370974" w14:paraId="514A5EE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72D52D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w:t>
            </w:r>
          </w:p>
        </w:tc>
        <w:tc>
          <w:tcPr>
            <w:tcW w:w="1248" w:type="dxa"/>
            <w:hideMark/>
          </w:tcPr>
          <w:p w14:paraId="70D09CA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99,20%</w:t>
            </w:r>
          </w:p>
        </w:tc>
        <w:tc>
          <w:tcPr>
            <w:tcW w:w="1249" w:type="dxa"/>
            <w:hideMark/>
          </w:tcPr>
          <w:p w14:paraId="0E16D7F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99,60%</w:t>
            </w:r>
          </w:p>
        </w:tc>
        <w:tc>
          <w:tcPr>
            <w:tcW w:w="1249" w:type="dxa"/>
            <w:hideMark/>
          </w:tcPr>
          <w:p w14:paraId="1D67C6D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99,60%</w:t>
            </w:r>
          </w:p>
        </w:tc>
        <w:tc>
          <w:tcPr>
            <w:tcW w:w="1178" w:type="dxa"/>
            <w:hideMark/>
          </w:tcPr>
          <w:p w14:paraId="3143209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99,36%</w:t>
            </w:r>
          </w:p>
        </w:tc>
        <w:tc>
          <w:tcPr>
            <w:tcW w:w="1093" w:type="dxa"/>
            <w:hideMark/>
          </w:tcPr>
          <w:p w14:paraId="7745DA1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98,92%</w:t>
            </w:r>
          </w:p>
        </w:tc>
        <w:tc>
          <w:tcPr>
            <w:tcW w:w="990" w:type="dxa"/>
            <w:hideMark/>
          </w:tcPr>
          <w:p w14:paraId="4DCD1FD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98,92%</w:t>
            </w:r>
          </w:p>
        </w:tc>
      </w:tr>
      <w:tr w:rsidR="00370974" w:rsidRPr="00370974" w14:paraId="6C85808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D26C24B"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Caerd</w:t>
            </w:r>
          </w:p>
        </w:tc>
        <w:tc>
          <w:tcPr>
            <w:tcW w:w="1248" w:type="dxa"/>
            <w:hideMark/>
          </w:tcPr>
          <w:p w14:paraId="42F887F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49,50%</w:t>
            </w:r>
          </w:p>
        </w:tc>
        <w:tc>
          <w:tcPr>
            <w:tcW w:w="1249" w:type="dxa"/>
            <w:hideMark/>
          </w:tcPr>
          <w:p w14:paraId="53841A7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48,00%</w:t>
            </w:r>
          </w:p>
        </w:tc>
        <w:tc>
          <w:tcPr>
            <w:tcW w:w="1249" w:type="dxa"/>
            <w:hideMark/>
          </w:tcPr>
          <w:p w14:paraId="0DF73E7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46,50%</w:t>
            </w:r>
          </w:p>
        </w:tc>
        <w:tc>
          <w:tcPr>
            <w:tcW w:w="1178" w:type="dxa"/>
            <w:hideMark/>
          </w:tcPr>
          <w:p w14:paraId="6125084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43,51%</w:t>
            </w:r>
          </w:p>
        </w:tc>
        <w:tc>
          <w:tcPr>
            <w:tcW w:w="1093" w:type="dxa"/>
            <w:hideMark/>
          </w:tcPr>
          <w:p w14:paraId="64BBF8A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46,49%</w:t>
            </w:r>
          </w:p>
        </w:tc>
        <w:tc>
          <w:tcPr>
            <w:tcW w:w="990" w:type="dxa"/>
            <w:hideMark/>
          </w:tcPr>
          <w:p w14:paraId="1A3E8BC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51,10%</w:t>
            </w:r>
          </w:p>
        </w:tc>
      </w:tr>
      <w:tr w:rsidR="00370974" w:rsidRPr="00370974" w14:paraId="1ADA722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8A1759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Caern</w:t>
            </w:r>
          </w:p>
        </w:tc>
        <w:tc>
          <w:tcPr>
            <w:tcW w:w="1248" w:type="dxa"/>
            <w:hideMark/>
          </w:tcPr>
          <w:p w14:paraId="4529101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91,50%</w:t>
            </w:r>
          </w:p>
        </w:tc>
        <w:tc>
          <w:tcPr>
            <w:tcW w:w="1249" w:type="dxa"/>
            <w:hideMark/>
          </w:tcPr>
          <w:p w14:paraId="535A8A2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93,30%</w:t>
            </w:r>
          </w:p>
        </w:tc>
        <w:tc>
          <w:tcPr>
            <w:tcW w:w="1249" w:type="dxa"/>
            <w:hideMark/>
          </w:tcPr>
          <w:p w14:paraId="537317E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95,10%</w:t>
            </w:r>
          </w:p>
        </w:tc>
        <w:tc>
          <w:tcPr>
            <w:tcW w:w="1178" w:type="dxa"/>
            <w:hideMark/>
          </w:tcPr>
          <w:p w14:paraId="01686D3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94,76%</w:t>
            </w:r>
          </w:p>
        </w:tc>
        <w:tc>
          <w:tcPr>
            <w:tcW w:w="1093" w:type="dxa"/>
            <w:hideMark/>
          </w:tcPr>
          <w:p w14:paraId="1E333D6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95,59%</w:t>
            </w:r>
          </w:p>
        </w:tc>
        <w:tc>
          <w:tcPr>
            <w:tcW w:w="990" w:type="dxa"/>
            <w:hideMark/>
          </w:tcPr>
          <w:p w14:paraId="2EC6C75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95,77%</w:t>
            </w:r>
          </w:p>
        </w:tc>
      </w:tr>
      <w:tr w:rsidR="00370974" w:rsidRPr="00370974" w14:paraId="7C2451E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959B83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Caesa</w:t>
            </w:r>
          </w:p>
        </w:tc>
        <w:tc>
          <w:tcPr>
            <w:tcW w:w="1248" w:type="dxa"/>
            <w:hideMark/>
          </w:tcPr>
          <w:p w14:paraId="11FDE69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41,30%</w:t>
            </w:r>
          </w:p>
        </w:tc>
        <w:tc>
          <w:tcPr>
            <w:tcW w:w="1249" w:type="dxa"/>
            <w:hideMark/>
          </w:tcPr>
          <w:p w14:paraId="5484431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41,70%</w:t>
            </w:r>
          </w:p>
        </w:tc>
        <w:tc>
          <w:tcPr>
            <w:tcW w:w="1249" w:type="dxa"/>
            <w:hideMark/>
          </w:tcPr>
          <w:p w14:paraId="710DA19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40,40%</w:t>
            </w:r>
          </w:p>
        </w:tc>
        <w:tc>
          <w:tcPr>
            <w:tcW w:w="1178" w:type="dxa"/>
            <w:hideMark/>
          </w:tcPr>
          <w:p w14:paraId="32FD037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39,05%</w:t>
            </w:r>
          </w:p>
        </w:tc>
        <w:tc>
          <w:tcPr>
            <w:tcW w:w="1093" w:type="dxa"/>
            <w:hideMark/>
          </w:tcPr>
          <w:p w14:paraId="2F7A850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37,48%</w:t>
            </w:r>
          </w:p>
        </w:tc>
        <w:tc>
          <w:tcPr>
            <w:tcW w:w="990" w:type="dxa"/>
            <w:hideMark/>
          </w:tcPr>
          <w:p w14:paraId="0A4E627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37,17%</w:t>
            </w:r>
          </w:p>
        </w:tc>
      </w:tr>
      <w:tr w:rsidR="00370974" w:rsidRPr="00370974" w14:paraId="6E97D4E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86739F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Caesb</w:t>
            </w:r>
          </w:p>
        </w:tc>
        <w:tc>
          <w:tcPr>
            <w:tcW w:w="1248" w:type="dxa"/>
            <w:hideMark/>
          </w:tcPr>
          <w:p w14:paraId="4B27051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100,00%</w:t>
            </w:r>
          </w:p>
        </w:tc>
        <w:tc>
          <w:tcPr>
            <w:tcW w:w="1249" w:type="dxa"/>
            <w:hideMark/>
          </w:tcPr>
          <w:p w14:paraId="32FBB0E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99,40%</w:t>
            </w:r>
          </w:p>
        </w:tc>
        <w:tc>
          <w:tcPr>
            <w:tcW w:w="1249" w:type="dxa"/>
            <w:hideMark/>
          </w:tcPr>
          <w:p w14:paraId="7CBD79E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98,00%</w:t>
            </w:r>
          </w:p>
        </w:tc>
        <w:tc>
          <w:tcPr>
            <w:tcW w:w="1178" w:type="dxa"/>
            <w:hideMark/>
          </w:tcPr>
          <w:p w14:paraId="0BFBA9A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98,20%</w:t>
            </w:r>
          </w:p>
        </w:tc>
        <w:tc>
          <w:tcPr>
            <w:tcW w:w="1093" w:type="dxa"/>
            <w:hideMark/>
          </w:tcPr>
          <w:p w14:paraId="50A75D3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97,46%</w:t>
            </w:r>
          </w:p>
        </w:tc>
        <w:tc>
          <w:tcPr>
            <w:tcW w:w="990" w:type="dxa"/>
            <w:hideMark/>
          </w:tcPr>
          <w:p w14:paraId="3FB06EC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98,98%</w:t>
            </w:r>
          </w:p>
        </w:tc>
      </w:tr>
      <w:tr w:rsidR="00370974" w:rsidRPr="00370974" w14:paraId="2D08641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1CEF29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Cagece</w:t>
            </w:r>
          </w:p>
        </w:tc>
        <w:tc>
          <w:tcPr>
            <w:tcW w:w="1248" w:type="dxa"/>
            <w:hideMark/>
          </w:tcPr>
          <w:p w14:paraId="0B3C5FF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74,80%</w:t>
            </w:r>
          </w:p>
        </w:tc>
        <w:tc>
          <w:tcPr>
            <w:tcW w:w="1249" w:type="dxa"/>
            <w:hideMark/>
          </w:tcPr>
          <w:p w14:paraId="2639946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89,50%</w:t>
            </w:r>
          </w:p>
        </w:tc>
        <w:tc>
          <w:tcPr>
            <w:tcW w:w="1249" w:type="dxa"/>
            <w:hideMark/>
          </w:tcPr>
          <w:p w14:paraId="09FE932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83,60%</w:t>
            </w:r>
          </w:p>
        </w:tc>
        <w:tc>
          <w:tcPr>
            <w:tcW w:w="1178" w:type="dxa"/>
            <w:hideMark/>
          </w:tcPr>
          <w:p w14:paraId="065F017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84,82%</w:t>
            </w:r>
          </w:p>
        </w:tc>
        <w:tc>
          <w:tcPr>
            <w:tcW w:w="1093" w:type="dxa"/>
            <w:hideMark/>
          </w:tcPr>
          <w:p w14:paraId="05C775E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76,40%</w:t>
            </w:r>
          </w:p>
        </w:tc>
        <w:tc>
          <w:tcPr>
            <w:tcW w:w="990" w:type="dxa"/>
            <w:hideMark/>
          </w:tcPr>
          <w:p w14:paraId="5003636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76,47%</w:t>
            </w:r>
          </w:p>
        </w:tc>
      </w:tr>
      <w:tr w:rsidR="00370974" w:rsidRPr="00370974" w14:paraId="49E093E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5F5B19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Cagepa</w:t>
            </w:r>
          </w:p>
        </w:tc>
        <w:tc>
          <w:tcPr>
            <w:tcW w:w="1248" w:type="dxa"/>
            <w:hideMark/>
          </w:tcPr>
          <w:p w14:paraId="2DAB77E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91,50%</w:t>
            </w:r>
          </w:p>
        </w:tc>
        <w:tc>
          <w:tcPr>
            <w:tcW w:w="1249" w:type="dxa"/>
            <w:hideMark/>
          </w:tcPr>
          <w:p w14:paraId="2624992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92,00%</w:t>
            </w:r>
          </w:p>
        </w:tc>
        <w:tc>
          <w:tcPr>
            <w:tcW w:w="1249" w:type="dxa"/>
            <w:hideMark/>
          </w:tcPr>
          <w:p w14:paraId="6514A07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92,70%</w:t>
            </w:r>
          </w:p>
        </w:tc>
        <w:tc>
          <w:tcPr>
            <w:tcW w:w="1178" w:type="dxa"/>
            <w:hideMark/>
          </w:tcPr>
          <w:p w14:paraId="635D0EF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93,71%</w:t>
            </w:r>
          </w:p>
        </w:tc>
        <w:tc>
          <w:tcPr>
            <w:tcW w:w="1093" w:type="dxa"/>
            <w:hideMark/>
          </w:tcPr>
          <w:p w14:paraId="0414A8E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96,83%</w:t>
            </w:r>
          </w:p>
        </w:tc>
        <w:tc>
          <w:tcPr>
            <w:tcW w:w="990" w:type="dxa"/>
            <w:hideMark/>
          </w:tcPr>
          <w:p w14:paraId="27A040B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92,12%</w:t>
            </w:r>
          </w:p>
        </w:tc>
      </w:tr>
      <w:tr w:rsidR="00370974" w:rsidRPr="00370974" w14:paraId="071B2AB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797382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Casal</w:t>
            </w:r>
          </w:p>
        </w:tc>
        <w:tc>
          <w:tcPr>
            <w:tcW w:w="1248" w:type="dxa"/>
            <w:hideMark/>
          </w:tcPr>
          <w:p w14:paraId="0F51CFD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80,50%</w:t>
            </w:r>
          </w:p>
        </w:tc>
        <w:tc>
          <w:tcPr>
            <w:tcW w:w="1249" w:type="dxa"/>
            <w:hideMark/>
          </w:tcPr>
          <w:p w14:paraId="50A024C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85,60%</w:t>
            </w:r>
          </w:p>
        </w:tc>
        <w:tc>
          <w:tcPr>
            <w:tcW w:w="1249" w:type="dxa"/>
            <w:hideMark/>
          </w:tcPr>
          <w:p w14:paraId="2AAEE74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90,00%</w:t>
            </w:r>
          </w:p>
        </w:tc>
        <w:tc>
          <w:tcPr>
            <w:tcW w:w="1178" w:type="dxa"/>
            <w:hideMark/>
          </w:tcPr>
          <w:p w14:paraId="12EBE04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88,36%</w:t>
            </w:r>
          </w:p>
        </w:tc>
        <w:tc>
          <w:tcPr>
            <w:tcW w:w="1093" w:type="dxa"/>
            <w:hideMark/>
          </w:tcPr>
          <w:p w14:paraId="7E0871F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90,56%</w:t>
            </w:r>
          </w:p>
        </w:tc>
        <w:tc>
          <w:tcPr>
            <w:tcW w:w="990" w:type="dxa"/>
            <w:hideMark/>
          </w:tcPr>
          <w:p w14:paraId="2509E17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90,38%</w:t>
            </w:r>
          </w:p>
        </w:tc>
      </w:tr>
      <w:tr w:rsidR="00370974" w:rsidRPr="00370974" w14:paraId="4D4F0BE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84330F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Casan</w:t>
            </w:r>
          </w:p>
        </w:tc>
        <w:tc>
          <w:tcPr>
            <w:tcW w:w="1248" w:type="dxa"/>
            <w:hideMark/>
          </w:tcPr>
          <w:p w14:paraId="04BB005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93,60%</w:t>
            </w:r>
          </w:p>
        </w:tc>
        <w:tc>
          <w:tcPr>
            <w:tcW w:w="1249" w:type="dxa"/>
            <w:hideMark/>
          </w:tcPr>
          <w:p w14:paraId="1509372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93,70%</w:t>
            </w:r>
          </w:p>
        </w:tc>
        <w:tc>
          <w:tcPr>
            <w:tcW w:w="1249" w:type="dxa"/>
            <w:hideMark/>
          </w:tcPr>
          <w:p w14:paraId="1D952DA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95,00%</w:t>
            </w:r>
          </w:p>
        </w:tc>
        <w:tc>
          <w:tcPr>
            <w:tcW w:w="1178" w:type="dxa"/>
            <w:hideMark/>
          </w:tcPr>
          <w:p w14:paraId="7F04534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95,24%</w:t>
            </w:r>
          </w:p>
        </w:tc>
        <w:tc>
          <w:tcPr>
            <w:tcW w:w="1093" w:type="dxa"/>
            <w:hideMark/>
          </w:tcPr>
          <w:p w14:paraId="63FAAF5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95,83%</w:t>
            </w:r>
          </w:p>
        </w:tc>
        <w:tc>
          <w:tcPr>
            <w:tcW w:w="990" w:type="dxa"/>
            <w:hideMark/>
          </w:tcPr>
          <w:p w14:paraId="2324940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95,77%</w:t>
            </w:r>
          </w:p>
        </w:tc>
      </w:tr>
      <w:tr w:rsidR="00370974" w:rsidRPr="00370974" w14:paraId="28479B7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C88B4C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Cedae</w:t>
            </w:r>
          </w:p>
        </w:tc>
        <w:tc>
          <w:tcPr>
            <w:tcW w:w="1248" w:type="dxa"/>
            <w:hideMark/>
          </w:tcPr>
          <w:p w14:paraId="538CD71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86,70%</w:t>
            </w:r>
          </w:p>
        </w:tc>
        <w:tc>
          <w:tcPr>
            <w:tcW w:w="1249" w:type="dxa"/>
            <w:hideMark/>
          </w:tcPr>
          <w:p w14:paraId="5D2382D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86,20%</w:t>
            </w:r>
          </w:p>
        </w:tc>
        <w:tc>
          <w:tcPr>
            <w:tcW w:w="1249" w:type="dxa"/>
            <w:hideMark/>
          </w:tcPr>
          <w:p w14:paraId="365E450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86,41%</w:t>
            </w:r>
          </w:p>
        </w:tc>
        <w:tc>
          <w:tcPr>
            <w:tcW w:w="1178" w:type="dxa"/>
            <w:hideMark/>
          </w:tcPr>
          <w:p w14:paraId="598ABA6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86,76%</w:t>
            </w:r>
          </w:p>
        </w:tc>
        <w:tc>
          <w:tcPr>
            <w:tcW w:w="1093" w:type="dxa"/>
            <w:hideMark/>
          </w:tcPr>
          <w:p w14:paraId="3A1D658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86,77%</w:t>
            </w:r>
          </w:p>
        </w:tc>
        <w:tc>
          <w:tcPr>
            <w:tcW w:w="990" w:type="dxa"/>
            <w:hideMark/>
          </w:tcPr>
          <w:p w14:paraId="14CD6FD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90,16%</w:t>
            </w:r>
          </w:p>
        </w:tc>
      </w:tr>
      <w:tr w:rsidR="00370974" w:rsidRPr="00370974" w14:paraId="5716AA4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E23E55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Cesan</w:t>
            </w:r>
          </w:p>
        </w:tc>
        <w:tc>
          <w:tcPr>
            <w:tcW w:w="1248" w:type="dxa"/>
            <w:hideMark/>
          </w:tcPr>
          <w:p w14:paraId="222234E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96,70%</w:t>
            </w:r>
          </w:p>
        </w:tc>
        <w:tc>
          <w:tcPr>
            <w:tcW w:w="1249" w:type="dxa"/>
            <w:hideMark/>
          </w:tcPr>
          <w:p w14:paraId="1553D31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97,10%</w:t>
            </w:r>
          </w:p>
        </w:tc>
        <w:tc>
          <w:tcPr>
            <w:tcW w:w="1249" w:type="dxa"/>
            <w:hideMark/>
          </w:tcPr>
          <w:p w14:paraId="4BD5DF0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95,60%</w:t>
            </w:r>
          </w:p>
        </w:tc>
        <w:tc>
          <w:tcPr>
            <w:tcW w:w="1178" w:type="dxa"/>
            <w:hideMark/>
          </w:tcPr>
          <w:p w14:paraId="66DA599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91,09%</w:t>
            </w:r>
          </w:p>
        </w:tc>
        <w:tc>
          <w:tcPr>
            <w:tcW w:w="1093" w:type="dxa"/>
            <w:hideMark/>
          </w:tcPr>
          <w:p w14:paraId="61AD248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90,13%</w:t>
            </w:r>
          </w:p>
        </w:tc>
        <w:tc>
          <w:tcPr>
            <w:tcW w:w="990" w:type="dxa"/>
            <w:hideMark/>
          </w:tcPr>
          <w:p w14:paraId="4A5FC50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91,77%</w:t>
            </w:r>
          </w:p>
        </w:tc>
      </w:tr>
      <w:tr w:rsidR="00370974" w:rsidRPr="00370974" w14:paraId="255E09D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B8E847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lastRenderedPageBreak/>
              <w:t>Compesa</w:t>
            </w:r>
          </w:p>
        </w:tc>
        <w:tc>
          <w:tcPr>
            <w:tcW w:w="1248" w:type="dxa"/>
            <w:hideMark/>
          </w:tcPr>
          <w:p w14:paraId="457C7E9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81,30%</w:t>
            </w:r>
          </w:p>
        </w:tc>
        <w:tc>
          <w:tcPr>
            <w:tcW w:w="1249" w:type="dxa"/>
            <w:hideMark/>
          </w:tcPr>
          <w:p w14:paraId="5410DA3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82,70%</w:t>
            </w:r>
          </w:p>
        </w:tc>
        <w:tc>
          <w:tcPr>
            <w:tcW w:w="1249" w:type="dxa"/>
            <w:hideMark/>
          </w:tcPr>
          <w:p w14:paraId="258F6F4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84,40%</w:t>
            </w:r>
          </w:p>
        </w:tc>
        <w:tc>
          <w:tcPr>
            <w:tcW w:w="1178" w:type="dxa"/>
            <w:hideMark/>
          </w:tcPr>
          <w:p w14:paraId="0AABE83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84,45%</w:t>
            </w:r>
          </w:p>
        </w:tc>
        <w:tc>
          <w:tcPr>
            <w:tcW w:w="1093" w:type="dxa"/>
            <w:hideMark/>
          </w:tcPr>
          <w:p w14:paraId="7FF7F9B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87,34%</w:t>
            </w:r>
          </w:p>
        </w:tc>
        <w:tc>
          <w:tcPr>
            <w:tcW w:w="990" w:type="dxa"/>
            <w:hideMark/>
          </w:tcPr>
          <w:p w14:paraId="6732DD3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88,30%</w:t>
            </w:r>
          </w:p>
        </w:tc>
      </w:tr>
      <w:tr w:rsidR="00370974" w:rsidRPr="00370974" w14:paraId="0120F06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3AD063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Copasa</w:t>
            </w:r>
          </w:p>
        </w:tc>
        <w:tc>
          <w:tcPr>
            <w:tcW w:w="1248" w:type="dxa"/>
            <w:hideMark/>
          </w:tcPr>
          <w:p w14:paraId="3FD3C51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98,40%</w:t>
            </w:r>
          </w:p>
        </w:tc>
        <w:tc>
          <w:tcPr>
            <w:tcW w:w="1249" w:type="dxa"/>
            <w:hideMark/>
          </w:tcPr>
          <w:p w14:paraId="3A3CF92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98,50%</w:t>
            </w:r>
          </w:p>
        </w:tc>
        <w:tc>
          <w:tcPr>
            <w:tcW w:w="1249" w:type="dxa"/>
            <w:hideMark/>
          </w:tcPr>
          <w:p w14:paraId="502EC89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98,70%</w:t>
            </w:r>
          </w:p>
        </w:tc>
        <w:tc>
          <w:tcPr>
            <w:tcW w:w="1178" w:type="dxa"/>
            <w:hideMark/>
          </w:tcPr>
          <w:p w14:paraId="2DD26C5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98,68%</w:t>
            </w:r>
          </w:p>
        </w:tc>
        <w:tc>
          <w:tcPr>
            <w:tcW w:w="1093" w:type="dxa"/>
            <w:hideMark/>
          </w:tcPr>
          <w:p w14:paraId="7C93793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98,74%</w:t>
            </w:r>
          </w:p>
        </w:tc>
        <w:tc>
          <w:tcPr>
            <w:tcW w:w="990" w:type="dxa"/>
            <w:hideMark/>
          </w:tcPr>
          <w:p w14:paraId="409DCF2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90,05%</w:t>
            </w:r>
          </w:p>
        </w:tc>
      </w:tr>
      <w:tr w:rsidR="00370974" w:rsidRPr="00370974" w14:paraId="7CECE8A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7B33BB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Corsan</w:t>
            </w:r>
          </w:p>
        </w:tc>
        <w:tc>
          <w:tcPr>
            <w:tcW w:w="1248" w:type="dxa"/>
            <w:hideMark/>
          </w:tcPr>
          <w:p w14:paraId="6207B4D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88,50%</w:t>
            </w:r>
          </w:p>
        </w:tc>
        <w:tc>
          <w:tcPr>
            <w:tcW w:w="1249" w:type="dxa"/>
            <w:hideMark/>
          </w:tcPr>
          <w:p w14:paraId="5CB0EEE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91,30%</w:t>
            </w:r>
          </w:p>
        </w:tc>
        <w:tc>
          <w:tcPr>
            <w:tcW w:w="1249" w:type="dxa"/>
            <w:hideMark/>
          </w:tcPr>
          <w:p w14:paraId="0ACABFA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92,10%</w:t>
            </w:r>
          </w:p>
        </w:tc>
        <w:tc>
          <w:tcPr>
            <w:tcW w:w="1178" w:type="dxa"/>
            <w:hideMark/>
          </w:tcPr>
          <w:p w14:paraId="1F2672E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93,78%</w:t>
            </w:r>
          </w:p>
        </w:tc>
        <w:tc>
          <w:tcPr>
            <w:tcW w:w="1093" w:type="dxa"/>
            <w:hideMark/>
          </w:tcPr>
          <w:p w14:paraId="21130BF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93,16%</w:t>
            </w:r>
          </w:p>
        </w:tc>
        <w:tc>
          <w:tcPr>
            <w:tcW w:w="990" w:type="dxa"/>
            <w:hideMark/>
          </w:tcPr>
          <w:p w14:paraId="72BDF85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95,40%</w:t>
            </w:r>
          </w:p>
        </w:tc>
      </w:tr>
      <w:tr w:rsidR="00370974" w:rsidRPr="00370974" w14:paraId="43E167E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7A5968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Cosanpa</w:t>
            </w:r>
          </w:p>
        </w:tc>
        <w:tc>
          <w:tcPr>
            <w:tcW w:w="1248" w:type="dxa"/>
            <w:hideMark/>
          </w:tcPr>
          <w:p w14:paraId="168D50E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50,90%</w:t>
            </w:r>
          </w:p>
        </w:tc>
        <w:tc>
          <w:tcPr>
            <w:tcW w:w="1249" w:type="dxa"/>
            <w:hideMark/>
          </w:tcPr>
          <w:p w14:paraId="466571C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42,50%</w:t>
            </w:r>
          </w:p>
        </w:tc>
        <w:tc>
          <w:tcPr>
            <w:tcW w:w="1249" w:type="dxa"/>
            <w:hideMark/>
          </w:tcPr>
          <w:p w14:paraId="3CCBB50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43,10%</w:t>
            </w:r>
          </w:p>
        </w:tc>
        <w:tc>
          <w:tcPr>
            <w:tcW w:w="1178" w:type="dxa"/>
            <w:hideMark/>
          </w:tcPr>
          <w:p w14:paraId="6DED2C3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42,94%</w:t>
            </w:r>
          </w:p>
        </w:tc>
        <w:tc>
          <w:tcPr>
            <w:tcW w:w="1093" w:type="dxa"/>
            <w:hideMark/>
          </w:tcPr>
          <w:p w14:paraId="3EC6A6F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50,34%</w:t>
            </w:r>
          </w:p>
        </w:tc>
        <w:tc>
          <w:tcPr>
            <w:tcW w:w="990" w:type="dxa"/>
            <w:hideMark/>
          </w:tcPr>
          <w:p w14:paraId="6600B30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50,78%</w:t>
            </w:r>
          </w:p>
        </w:tc>
      </w:tr>
      <w:tr w:rsidR="00370974" w:rsidRPr="00370974" w14:paraId="59B0ABC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95B66D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Depasa</w:t>
            </w:r>
          </w:p>
        </w:tc>
        <w:tc>
          <w:tcPr>
            <w:tcW w:w="1248" w:type="dxa"/>
            <w:hideMark/>
          </w:tcPr>
          <w:p w14:paraId="0284940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60,70%</w:t>
            </w:r>
          </w:p>
        </w:tc>
        <w:tc>
          <w:tcPr>
            <w:tcW w:w="1249" w:type="dxa"/>
            <w:hideMark/>
          </w:tcPr>
          <w:p w14:paraId="3330AA0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62,00%</w:t>
            </w:r>
          </w:p>
        </w:tc>
        <w:tc>
          <w:tcPr>
            <w:tcW w:w="1249" w:type="dxa"/>
            <w:hideMark/>
          </w:tcPr>
          <w:p w14:paraId="6CF80A0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82,90%</w:t>
            </w:r>
          </w:p>
        </w:tc>
        <w:tc>
          <w:tcPr>
            <w:tcW w:w="1178" w:type="dxa"/>
            <w:hideMark/>
          </w:tcPr>
          <w:p w14:paraId="02A517C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57,43%</w:t>
            </w:r>
          </w:p>
        </w:tc>
        <w:tc>
          <w:tcPr>
            <w:tcW w:w="1093" w:type="dxa"/>
            <w:hideMark/>
          </w:tcPr>
          <w:p w14:paraId="128D8BA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59,58%</w:t>
            </w:r>
          </w:p>
        </w:tc>
        <w:tc>
          <w:tcPr>
            <w:tcW w:w="990" w:type="dxa"/>
            <w:hideMark/>
          </w:tcPr>
          <w:p w14:paraId="5B334A2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64,26%</w:t>
            </w:r>
          </w:p>
        </w:tc>
      </w:tr>
      <w:tr w:rsidR="00370974" w:rsidRPr="00370974" w14:paraId="30B4179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9BA196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Deso</w:t>
            </w:r>
          </w:p>
        </w:tc>
        <w:tc>
          <w:tcPr>
            <w:tcW w:w="1248" w:type="dxa"/>
            <w:hideMark/>
          </w:tcPr>
          <w:p w14:paraId="236D5BC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88,40%</w:t>
            </w:r>
          </w:p>
        </w:tc>
        <w:tc>
          <w:tcPr>
            <w:tcW w:w="1249" w:type="dxa"/>
            <w:hideMark/>
          </w:tcPr>
          <w:p w14:paraId="3566FFE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88,80%</w:t>
            </w:r>
          </w:p>
        </w:tc>
        <w:tc>
          <w:tcPr>
            <w:tcW w:w="1249" w:type="dxa"/>
            <w:hideMark/>
          </w:tcPr>
          <w:p w14:paraId="4B74A24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89,50%</w:t>
            </w:r>
          </w:p>
        </w:tc>
        <w:tc>
          <w:tcPr>
            <w:tcW w:w="1178" w:type="dxa"/>
            <w:hideMark/>
          </w:tcPr>
          <w:p w14:paraId="54834C3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89,60%</w:t>
            </w:r>
          </w:p>
        </w:tc>
        <w:tc>
          <w:tcPr>
            <w:tcW w:w="1093" w:type="dxa"/>
            <w:hideMark/>
          </w:tcPr>
          <w:p w14:paraId="4C0F0D6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89,84%</w:t>
            </w:r>
          </w:p>
        </w:tc>
        <w:tc>
          <w:tcPr>
            <w:tcW w:w="990" w:type="dxa"/>
            <w:hideMark/>
          </w:tcPr>
          <w:p w14:paraId="7882103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90,05%</w:t>
            </w:r>
          </w:p>
        </w:tc>
      </w:tr>
      <w:tr w:rsidR="00370974" w:rsidRPr="00370974" w14:paraId="40F92F5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7F9FC5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Embasa</w:t>
            </w:r>
          </w:p>
        </w:tc>
        <w:tc>
          <w:tcPr>
            <w:tcW w:w="1248" w:type="dxa"/>
            <w:hideMark/>
          </w:tcPr>
          <w:p w14:paraId="1C531C9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97,20%</w:t>
            </w:r>
          </w:p>
        </w:tc>
        <w:tc>
          <w:tcPr>
            <w:tcW w:w="1249" w:type="dxa"/>
            <w:hideMark/>
          </w:tcPr>
          <w:p w14:paraId="3B7D2F3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94,10%</w:t>
            </w:r>
          </w:p>
        </w:tc>
        <w:tc>
          <w:tcPr>
            <w:tcW w:w="1249" w:type="dxa"/>
            <w:hideMark/>
          </w:tcPr>
          <w:p w14:paraId="4C8920B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94,70%</w:t>
            </w:r>
          </w:p>
        </w:tc>
        <w:tc>
          <w:tcPr>
            <w:tcW w:w="1178" w:type="dxa"/>
            <w:hideMark/>
          </w:tcPr>
          <w:p w14:paraId="43B87D6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95,06%</w:t>
            </w:r>
          </w:p>
        </w:tc>
        <w:tc>
          <w:tcPr>
            <w:tcW w:w="1093" w:type="dxa"/>
            <w:hideMark/>
          </w:tcPr>
          <w:p w14:paraId="17B05E8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94,82%</w:t>
            </w:r>
          </w:p>
        </w:tc>
        <w:tc>
          <w:tcPr>
            <w:tcW w:w="990" w:type="dxa"/>
            <w:hideMark/>
          </w:tcPr>
          <w:p w14:paraId="6426D65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94,70%</w:t>
            </w:r>
          </w:p>
        </w:tc>
      </w:tr>
      <w:tr w:rsidR="00370974" w:rsidRPr="00370974" w14:paraId="69385F0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299890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Sabesp</w:t>
            </w:r>
          </w:p>
        </w:tc>
        <w:tc>
          <w:tcPr>
            <w:tcW w:w="1248" w:type="dxa"/>
            <w:hideMark/>
          </w:tcPr>
          <w:p w14:paraId="472B81E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97,90%</w:t>
            </w:r>
          </w:p>
        </w:tc>
        <w:tc>
          <w:tcPr>
            <w:tcW w:w="1249" w:type="dxa"/>
            <w:hideMark/>
          </w:tcPr>
          <w:p w14:paraId="6B234E0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98,20%</w:t>
            </w:r>
          </w:p>
        </w:tc>
        <w:tc>
          <w:tcPr>
            <w:tcW w:w="1249" w:type="dxa"/>
            <w:hideMark/>
          </w:tcPr>
          <w:p w14:paraId="4474B3C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98,30%</w:t>
            </w:r>
          </w:p>
        </w:tc>
        <w:tc>
          <w:tcPr>
            <w:tcW w:w="1178" w:type="dxa"/>
            <w:hideMark/>
          </w:tcPr>
          <w:p w14:paraId="4C22190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98,32%</w:t>
            </w:r>
          </w:p>
        </w:tc>
        <w:tc>
          <w:tcPr>
            <w:tcW w:w="1093" w:type="dxa"/>
            <w:hideMark/>
          </w:tcPr>
          <w:p w14:paraId="5327412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98,43%</w:t>
            </w:r>
          </w:p>
        </w:tc>
        <w:tc>
          <w:tcPr>
            <w:tcW w:w="990" w:type="dxa"/>
            <w:hideMark/>
          </w:tcPr>
          <w:p w14:paraId="23FAD7E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97,76%</w:t>
            </w:r>
          </w:p>
        </w:tc>
      </w:tr>
      <w:tr w:rsidR="00370974" w:rsidRPr="00370974" w14:paraId="582B1CD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2A2614A"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Saneago</w:t>
            </w:r>
          </w:p>
        </w:tc>
        <w:tc>
          <w:tcPr>
            <w:tcW w:w="1248" w:type="dxa"/>
            <w:hideMark/>
          </w:tcPr>
          <w:p w14:paraId="1A7B343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90,40%</w:t>
            </w:r>
          </w:p>
        </w:tc>
        <w:tc>
          <w:tcPr>
            <w:tcW w:w="1249" w:type="dxa"/>
            <w:hideMark/>
          </w:tcPr>
          <w:p w14:paraId="038FF8A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92,10%</w:t>
            </w:r>
          </w:p>
        </w:tc>
        <w:tc>
          <w:tcPr>
            <w:tcW w:w="1249" w:type="dxa"/>
            <w:hideMark/>
          </w:tcPr>
          <w:p w14:paraId="4542049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94,10%</w:t>
            </w:r>
          </w:p>
        </w:tc>
        <w:tc>
          <w:tcPr>
            <w:tcW w:w="1178" w:type="dxa"/>
            <w:hideMark/>
          </w:tcPr>
          <w:p w14:paraId="10B7E9D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94,40%</w:t>
            </w:r>
          </w:p>
        </w:tc>
        <w:tc>
          <w:tcPr>
            <w:tcW w:w="1093" w:type="dxa"/>
            <w:hideMark/>
          </w:tcPr>
          <w:p w14:paraId="7A9342D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95,57%</w:t>
            </w:r>
          </w:p>
        </w:tc>
        <w:tc>
          <w:tcPr>
            <w:tcW w:w="990" w:type="dxa"/>
            <w:hideMark/>
          </w:tcPr>
          <w:p w14:paraId="7E77E22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96,23%</w:t>
            </w:r>
          </w:p>
        </w:tc>
      </w:tr>
      <w:tr w:rsidR="00370974" w:rsidRPr="00370974" w14:paraId="4B0EBB4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8FDA8D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val="es-CO" w:eastAsia="es-CO"/>
              </w:rPr>
              <w:t>Saneatins</w:t>
            </w:r>
          </w:p>
        </w:tc>
        <w:tc>
          <w:tcPr>
            <w:tcW w:w="1248" w:type="dxa"/>
            <w:hideMark/>
          </w:tcPr>
          <w:p w14:paraId="0642FFF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91,20%</w:t>
            </w:r>
          </w:p>
        </w:tc>
        <w:tc>
          <w:tcPr>
            <w:tcW w:w="1249" w:type="dxa"/>
            <w:hideMark/>
          </w:tcPr>
          <w:p w14:paraId="5361B77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91,60%</w:t>
            </w:r>
          </w:p>
        </w:tc>
        <w:tc>
          <w:tcPr>
            <w:tcW w:w="1249" w:type="dxa"/>
            <w:hideMark/>
          </w:tcPr>
          <w:p w14:paraId="66C80DD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88,90%</w:t>
            </w:r>
          </w:p>
        </w:tc>
        <w:tc>
          <w:tcPr>
            <w:tcW w:w="1178" w:type="dxa"/>
            <w:hideMark/>
          </w:tcPr>
          <w:p w14:paraId="23C716F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92,07%</w:t>
            </w:r>
          </w:p>
        </w:tc>
        <w:tc>
          <w:tcPr>
            <w:tcW w:w="1093" w:type="dxa"/>
            <w:hideMark/>
          </w:tcPr>
          <w:p w14:paraId="27C8EE3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95,99%</w:t>
            </w:r>
          </w:p>
        </w:tc>
        <w:tc>
          <w:tcPr>
            <w:tcW w:w="990" w:type="dxa"/>
            <w:hideMark/>
          </w:tcPr>
          <w:p w14:paraId="6268018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97,77%</w:t>
            </w:r>
          </w:p>
        </w:tc>
      </w:tr>
      <w:tr w:rsidR="00370974" w:rsidRPr="00370974" w14:paraId="3AAB22A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F3397F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Sanepar</w:t>
            </w:r>
          </w:p>
        </w:tc>
        <w:tc>
          <w:tcPr>
            <w:tcW w:w="1248" w:type="dxa"/>
            <w:hideMark/>
          </w:tcPr>
          <w:p w14:paraId="4958C9C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99,40%</w:t>
            </w:r>
          </w:p>
        </w:tc>
        <w:tc>
          <w:tcPr>
            <w:tcW w:w="1249" w:type="dxa"/>
            <w:hideMark/>
          </w:tcPr>
          <w:p w14:paraId="6E4186D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99,80%</w:t>
            </w:r>
          </w:p>
        </w:tc>
        <w:tc>
          <w:tcPr>
            <w:tcW w:w="1249" w:type="dxa"/>
            <w:hideMark/>
          </w:tcPr>
          <w:p w14:paraId="62DFFFF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99,60%</w:t>
            </w:r>
          </w:p>
        </w:tc>
        <w:tc>
          <w:tcPr>
            <w:tcW w:w="1178" w:type="dxa"/>
            <w:hideMark/>
          </w:tcPr>
          <w:p w14:paraId="466B706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99,99%</w:t>
            </w:r>
          </w:p>
        </w:tc>
        <w:tc>
          <w:tcPr>
            <w:tcW w:w="1093" w:type="dxa"/>
            <w:hideMark/>
          </w:tcPr>
          <w:p w14:paraId="22C34EA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99,99%</w:t>
            </w:r>
          </w:p>
        </w:tc>
        <w:tc>
          <w:tcPr>
            <w:tcW w:w="990" w:type="dxa"/>
            <w:hideMark/>
          </w:tcPr>
          <w:p w14:paraId="39ACF12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99,95%</w:t>
            </w:r>
          </w:p>
        </w:tc>
      </w:tr>
      <w:tr w:rsidR="00370974" w:rsidRPr="00370974" w14:paraId="261781E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25D4C3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Sanesul</w:t>
            </w:r>
          </w:p>
        </w:tc>
        <w:tc>
          <w:tcPr>
            <w:tcW w:w="1248" w:type="dxa"/>
            <w:hideMark/>
          </w:tcPr>
          <w:p w14:paraId="6040C06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99,00%</w:t>
            </w:r>
          </w:p>
        </w:tc>
        <w:tc>
          <w:tcPr>
            <w:tcW w:w="1249" w:type="dxa"/>
            <w:hideMark/>
          </w:tcPr>
          <w:p w14:paraId="2F21152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98,80%</w:t>
            </w:r>
          </w:p>
        </w:tc>
        <w:tc>
          <w:tcPr>
            <w:tcW w:w="1249" w:type="dxa"/>
            <w:hideMark/>
          </w:tcPr>
          <w:p w14:paraId="2334DFF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99,10%</w:t>
            </w:r>
          </w:p>
        </w:tc>
        <w:tc>
          <w:tcPr>
            <w:tcW w:w="1178" w:type="dxa"/>
            <w:hideMark/>
          </w:tcPr>
          <w:p w14:paraId="3E81EBE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99,35%</w:t>
            </w:r>
          </w:p>
        </w:tc>
        <w:tc>
          <w:tcPr>
            <w:tcW w:w="1093" w:type="dxa"/>
            <w:hideMark/>
          </w:tcPr>
          <w:p w14:paraId="1944454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98,73%</w:t>
            </w:r>
          </w:p>
        </w:tc>
        <w:tc>
          <w:tcPr>
            <w:tcW w:w="990" w:type="dxa"/>
            <w:hideMark/>
          </w:tcPr>
          <w:p w14:paraId="6B22836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98,93%</w:t>
            </w:r>
          </w:p>
        </w:tc>
      </w:tr>
    </w:tbl>
    <w:p w14:paraId="522CEC64" w14:textId="136C1726" w:rsidR="00117BE1" w:rsidRPr="00042F25" w:rsidRDefault="00117BE1" w:rsidP="00117BE1">
      <w:pPr>
        <w:pStyle w:val="Descripcin"/>
        <w:spacing w:before="0" w:beforeAutospacing="0"/>
        <w:jc w:val="left"/>
        <w:rPr>
          <w:sz w:val="20"/>
        </w:rPr>
      </w:pPr>
      <w:r w:rsidRPr="00042F25">
        <w:rPr>
          <w:sz w:val="20"/>
        </w:rPr>
        <w:t>Fonte: SNIS 2015. Elaborado por: GO Associados</w:t>
      </w:r>
    </w:p>
    <w:p w14:paraId="1FD016EE" w14:textId="7EBDFA4F" w:rsidR="0040799F" w:rsidRDefault="0040799F" w:rsidP="0040799F">
      <w:pPr>
        <w:pStyle w:val="Descripcin"/>
      </w:pPr>
      <w:bookmarkStart w:id="24" w:name="_Toc493222476"/>
      <w:r w:rsidRPr="00042F25">
        <w:t xml:space="preserve">Quadro </w:t>
      </w:r>
      <w:fldSimple w:instr=" SEQ Quadro \* ARABIC ">
        <w:r w:rsidR="00B64D1C" w:rsidRPr="00042F25">
          <w:rPr>
            <w:noProof/>
          </w:rPr>
          <w:t>13</w:t>
        </w:r>
      </w:fldSimple>
      <w:r w:rsidRPr="00042F25">
        <w:t xml:space="preserve"> – Índice de Atendimento Total de Água (IN055)</w:t>
      </w:r>
      <w:bookmarkEnd w:id="24"/>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370974" w:rsidRPr="00370974" w14:paraId="5CEA09AF"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F8C6338" w14:textId="77777777" w:rsidR="00370974" w:rsidRPr="00370974" w:rsidRDefault="00370974" w:rsidP="00370974">
            <w:pPr>
              <w:spacing w:before="0" w:beforeAutospacing="0" w:after="0" w:afterAutospacing="0" w:line="240" w:lineRule="auto"/>
              <w:ind w:firstLine="0"/>
              <w:jc w:val="left"/>
              <w:rPr>
                <w:b w:val="0"/>
                <w:bCs w:val="0"/>
                <w:color w:val="FFFFFF"/>
                <w:sz w:val="22"/>
                <w:lang w:val="es-CO" w:eastAsia="es-CO"/>
              </w:rPr>
            </w:pPr>
            <w:r w:rsidRPr="00370974">
              <w:rPr>
                <w:b w:val="0"/>
                <w:bCs w:val="0"/>
                <w:color w:val="FFFFFF"/>
                <w:sz w:val="22"/>
                <w:lang w:eastAsia="es-CO"/>
              </w:rPr>
              <w:t>Empresa</w:t>
            </w:r>
          </w:p>
        </w:tc>
        <w:tc>
          <w:tcPr>
            <w:tcW w:w="1248" w:type="dxa"/>
            <w:hideMark/>
          </w:tcPr>
          <w:p w14:paraId="57C73050"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2010</w:t>
            </w:r>
          </w:p>
        </w:tc>
        <w:tc>
          <w:tcPr>
            <w:tcW w:w="1249" w:type="dxa"/>
            <w:hideMark/>
          </w:tcPr>
          <w:p w14:paraId="0F954628"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2011</w:t>
            </w:r>
          </w:p>
        </w:tc>
        <w:tc>
          <w:tcPr>
            <w:tcW w:w="1249" w:type="dxa"/>
            <w:hideMark/>
          </w:tcPr>
          <w:p w14:paraId="6CB11EE1"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2012</w:t>
            </w:r>
          </w:p>
        </w:tc>
        <w:tc>
          <w:tcPr>
            <w:tcW w:w="1178" w:type="dxa"/>
            <w:hideMark/>
          </w:tcPr>
          <w:p w14:paraId="61FAA056"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2013</w:t>
            </w:r>
          </w:p>
        </w:tc>
        <w:tc>
          <w:tcPr>
            <w:tcW w:w="1093" w:type="dxa"/>
            <w:hideMark/>
          </w:tcPr>
          <w:p w14:paraId="66E5F428"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2014</w:t>
            </w:r>
          </w:p>
        </w:tc>
        <w:tc>
          <w:tcPr>
            <w:tcW w:w="990" w:type="dxa"/>
            <w:hideMark/>
          </w:tcPr>
          <w:p w14:paraId="1ED49879"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2015</w:t>
            </w:r>
          </w:p>
        </w:tc>
      </w:tr>
      <w:tr w:rsidR="00370974" w:rsidRPr="00370974" w14:paraId="3307DD3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982737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Agespisa</w:t>
            </w:r>
          </w:p>
        </w:tc>
        <w:tc>
          <w:tcPr>
            <w:tcW w:w="1248" w:type="dxa"/>
            <w:hideMark/>
          </w:tcPr>
          <w:p w14:paraId="3C945D7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64,70%</w:t>
            </w:r>
          </w:p>
        </w:tc>
        <w:tc>
          <w:tcPr>
            <w:tcW w:w="1249" w:type="dxa"/>
            <w:hideMark/>
          </w:tcPr>
          <w:p w14:paraId="22D38CA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64,65%</w:t>
            </w:r>
          </w:p>
        </w:tc>
        <w:tc>
          <w:tcPr>
            <w:tcW w:w="1249" w:type="dxa"/>
            <w:hideMark/>
          </w:tcPr>
          <w:p w14:paraId="28C6DED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65,99%</w:t>
            </w:r>
          </w:p>
        </w:tc>
        <w:tc>
          <w:tcPr>
            <w:tcW w:w="1178" w:type="dxa"/>
            <w:hideMark/>
          </w:tcPr>
          <w:p w14:paraId="7060D77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66,40%</w:t>
            </w:r>
          </w:p>
        </w:tc>
        <w:tc>
          <w:tcPr>
            <w:tcW w:w="1093" w:type="dxa"/>
            <w:hideMark/>
          </w:tcPr>
          <w:p w14:paraId="4E36005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67,25%</w:t>
            </w:r>
          </w:p>
        </w:tc>
        <w:tc>
          <w:tcPr>
            <w:tcW w:w="990" w:type="dxa"/>
            <w:hideMark/>
          </w:tcPr>
          <w:p w14:paraId="08B8C26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76,18%</w:t>
            </w:r>
          </w:p>
        </w:tc>
      </w:tr>
      <w:tr w:rsidR="00370974" w:rsidRPr="00370974" w14:paraId="37831A2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FBE45FF"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Caema</w:t>
            </w:r>
          </w:p>
        </w:tc>
        <w:tc>
          <w:tcPr>
            <w:tcW w:w="1248" w:type="dxa"/>
            <w:hideMark/>
          </w:tcPr>
          <w:p w14:paraId="5190184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43,86%</w:t>
            </w:r>
          </w:p>
        </w:tc>
        <w:tc>
          <w:tcPr>
            <w:tcW w:w="1249" w:type="dxa"/>
            <w:hideMark/>
          </w:tcPr>
          <w:p w14:paraId="1FFF86E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44,90%</w:t>
            </w:r>
          </w:p>
        </w:tc>
        <w:tc>
          <w:tcPr>
            <w:tcW w:w="1249" w:type="dxa"/>
            <w:hideMark/>
          </w:tcPr>
          <w:p w14:paraId="28E7071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44,84%</w:t>
            </w:r>
          </w:p>
        </w:tc>
        <w:tc>
          <w:tcPr>
            <w:tcW w:w="1178" w:type="dxa"/>
            <w:hideMark/>
          </w:tcPr>
          <w:p w14:paraId="4208AA0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46,12%</w:t>
            </w:r>
          </w:p>
        </w:tc>
        <w:tc>
          <w:tcPr>
            <w:tcW w:w="1093" w:type="dxa"/>
            <w:hideMark/>
          </w:tcPr>
          <w:p w14:paraId="61703EE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46,95%</w:t>
            </w:r>
          </w:p>
        </w:tc>
        <w:tc>
          <w:tcPr>
            <w:tcW w:w="990" w:type="dxa"/>
            <w:hideMark/>
          </w:tcPr>
          <w:p w14:paraId="2A2A657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49,35%</w:t>
            </w:r>
          </w:p>
        </w:tc>
      </w:tr>
      <w:tr w:rsidR="00370974" w:rsidRPr="00370974" w14:paraId="7A69DE5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8F7CDF"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w:t>
            </w:r>
          </w:p>
        </w:tc>
        <w:tc>
          <w:tcPr>
            <w:tcW w:w="1248" w:type="dxa"/>
            <w:hideMark/>
          </w:tcPr>
          <w:p w14:paraId="0AB6590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79,78%</w:t>
            </w:r>
          </w:p>
        </w:tc>
        <w:tc>
          <w:tcPr>
            <w:tcW w:w="1249" w:type="dxa"/>
            <w:hideMark/>
          </w:tcPr>
          <w:p w14:paraId="1081DEC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80,76%</w:t>
            </w:r>
          </w:p>
        </w:tc>
        <w:tc>
          <w:tcPr>
            <w:tcW w:w="1249" w:type="dxa"/>
            <w:hideMark/>
          </w:tcPr>
          <w:p w14:paraId="614C101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80,85%</w:t>
            </w:r>
          </w:p>
        </w:tc>
        <w:tc>
          <w:tcPr>
            <w:tcW w:w="1178" w:type="dxa"/>
            <w:hideMark/>
          </w:tcPr>
          <w:p w14:paraId="3E1345F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80,17%</w:t>
            </w:r>
          </w:p>
        </w:tc>
        <w:tc>
          <w:tcPr>
            <w:tcW w:w="1093" w:type="dxa"/>
            <w:hideMark/>
          </w:tcPr>
          <w:p w14:paraId="046FB9E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79,93%</w:t>
            </w:r>
          </w:p>
        </w:tc>
        <w:tc>
          <w:tcPr>
            <w:tcW w:w="990" w:type="dxa"/>
            <w:hideMark/>
          </w:tcPr>
          <w:p w14:paraId="4D3B63A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80,01%</w:t>
            </w:r>
          </w:p>
        </w:tc>
      </w:tr>
      <w:tr w:rsidR="00370974" w:rsidRPr="00370974" w14:paraId="47C40F8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A84B5E8"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Caerd</w:t>
            </w:r>
          </w:p>
        </w:tc>
        <w:tc>
          <w:tcPr>
            <w:tcW w:w="1248" w:type="dxa"/>
            <w:hideMark/>
          </w:tcPr>
          <w:p w14:paraId="6043659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37,17%</w:t>
            </w:r>
          </w:p>
        </w:tc>
        <w:tc>
          <w:tcPr>
            <w:tcW w:w="1249" w:type="dxa"/>
            <w:hideMark/>
          </w:tcPr>
          <w:p w14:paraId="149C2ED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35,80%</w:t>
            </w:r>
          </w:p>
        </w:tc>
        <w:tc>
          <w:tcPr>
            <w:tcW w:w="1249" w:type="dxa"/>
            <w:hideMark/>
          </w:tcPr>
          <w:p w14:paraId="46BCB1D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34,77%</w:t>
            </w:r>
          </w:p>
        </w:tc>
        <w:tc>
          <w:tcPr>
            <w:tcW w:w="1178" w:type="dxa"/>
            <w:hideMark/>
          </w:tcPr>
          <w:p w14:paraId="4FFE40A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32,58%</w:t>
            </w:r>
          </w:p>
        </w:tc>
        <w:tc>
          <w:tcPr>
            <w:tcW w:w="1093" w:type="dxa"/>
            <w:hideMark/>
          </w:tcPr>
          <w:p w14:paraId="6802C9B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35,11%</w:t>
            </w:r>
          </w:p>
        </w:tc>
        <w:tc>
          <w:tcPr>
            <w:tcW w:w="990" w:type="dxa"/>
            <w:hideMark/>
          </w:tcPr>
          <w:p w14:paraId="4E0242A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38,68%</w:t>
            </w:r>
          </w:p>
        </w:tc>
      </w:tr>
      <w:tr w:rsidR="00370974" w:rsidRPr="00370974" w14:paraId="66B2690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795A35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Caern</w:t>
            </w:r>
          </w:p>
        </w:tc>
        <w:tc>
          <w:tcPr>
            <w:tcW w:w="1248" w:type="dxa"/>
            <w:hideMark/>
          </w:tcPr>
          <w:p w14:paraId="52A7F18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72,17%</w:t>
            </w:r>
          </w:p>
        </w:tc>
        <w:tc>
          <w:tcPr>
            <w:tcW w:w="1249" w:type="dxa"/>
            <w:hideMark/>
          </w:tcPr>
          <w:p w14:paraId="0FE9DFB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73,98%</w:t>
            </w:r>
          </w:p>
        </w:tc>
        <w:tc>
          <w:tcPr>
            <w:tcW w:w="1249" w:type="dxa"/>
            <w:hideMark/>
          </w:tcPr>
          <w:p w14:paraId="1A37A21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81,32%</w:t>
            </w:r>
          </w:p>
        </w:tc>
        <w:tc>
          <w:tcPr>
            <w:tcW w:w="1178" w:type="dxa"/>
            <w:hideMark/>
          </w:tcPr>
          <w:p w14:paraId="6351C11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80,85%</w:t>
            </w:r>
          </w:p>
        </w:tc>
        <w:tc>
          <w:tcPr>
            <w:tcW w:w="1093" w:type="dxa"/>
            <w:hideMark/>
          </w:tcPr>
          <w:p w14:paraId="526A6C4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82,12%</w:t>
            </w:r>
          </w:p>
        </w:tc>
        <w:tc>
          <w:tcPr>
            <w:tcW w:w="990" w:type="dxa"/>
            <w:hideMark/>
          </w:tcPr>
          <w:p w14:paraId="57C975A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78,12%</w:t>
            </w:r>
          </w:p>
        </w:tc>
      </w:tr>
      <w:tr w:rsidR="00370974" w:rsidRPr="00370974" w14:paraId="4C8F015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574B6BE"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Caesa</w:t>
            </w:r>
          </w:p>
        </w:tc>
        <w:tc>
          <w:tcPr>
            <w:tcW w:w="1248" w:type="dxa"/>
            <w:hideMark/>
          </w:tcPr>
          <w:p w14:paraId="4993788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37,87%</w:t>
            </w:r>
          </w:p>
        </w:tc>
        <w:tc>
          <w:tcPr>
            <w:tcW w:w="1249" w:type="dxa"/>
            <w:hideMark/>
          </w:tcPr>
          <w:p w14:paraId="3982D2C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37,62%</w:t>
            </w:r>
          </w:p>
        </w:tc>
        <w:tc>
          <w:tcPr>
            <w:tcW w:w="1249" w:type="dxa"/>
            <w:hideMark/>
          </w:tcPr>
          <w:p w14:paraId="6ADC843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36,98%</w:t>
            </w:r>
          </w:p>
        </w:tc>
        <w:tc>
          <w:tcPr>
            <w:tcW w:w="1178" w:type="dxa"/>
            <w:hideMark/>
          </w:tcPr>
          <w:p w14:paraId="28CA0C9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36,16%</w:t>
            </w:r>
          </w:p>
        </w:tc>
        <w:tc>
          <w:tcPr>
            <w:tcW w:w="1093" w:type="dxa"/>
            <w:hideMark/>
          </w:tcPr>
          <w:p w14:paraId="6A522DE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34,38%</w:t>
            </w:r>
          </w:p>
        </w:tc>
        <w:tc>
          <w:tcPr>
            <w:tcW w:w="990" w:type="dxa"/>
            <w:hideMark/>
          </w:tcPr>
          <w:p w14:paraId="6DB825C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34,01%</w:t>
            </w:r>
          </w:p>
        </w:tc>
      </w:tr>
      <w:tr w:rsidR="00370974" w:rsidRPr="00370974" w14:paraId="6737BB6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534292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Caesb</w:t>
            </w:r>
          </w:p>
        </w:tc>
        <w:tc>
          <w:tcPr>
            <w:tcW w:w="1248" w:type="dxa"/>
            <w:hideMark/>
          </w:tcPr>
          <w:p w14:paraId="5D1C556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99,45%</w:t>
            </w:r>
          </w:p>
        </w:tc>
        <w:tc>
          <w:tcPr>
            <w:tcW w:w="1249" w:type="dxa"/>
            <w:hideMark/>
          </w:tcPr>
          <w:p w14:paraId="230510C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99,45%</w:t>
            </w:r>
          </w:p>
        </w:tc>
        <w:tc>
          <w:tcPr>
            <w:tcW w:w="1249" w:type="dxa"/>
            <w:hideMark/>
          </w:tcPr>
          <w:p w14:paraId="1461A39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98,04%</w:t>
            </w:r>
          </w:p>
        </w:tc>
        <w:tc>
          <w:tcPr>
            <w:tcW w:w="1178" w:type="dxa"/>
            <w:hideMark/>
          </w:tcPr>
          <w:p w14:paraId="00CED1D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98,20%</w:t>
            </w:r>
          </w:p>
        </w:tc>
        <w:tc>
          <w:tcPr>
            <w:tcW w:w="1093" w:type="dxa"/>
            <w:hideMark/>
          </w:tcPr>
          <w:p w14:paraId="195619F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97,46%</w:t>
            </w:r>
          </w:p>
        </w:tc>
        <w:tc>
          <w:tcPr>
            <w:tcW w:w="990" w:type="dxa"/>
            <w:hideMark/>
          </w:tcPr>
          <w:p w14:paraId="172E532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98,98%</w:t>
            </w:r>
          </w:p>
        </w:tc>
      </w:tr>
      <w:tr w:rsidR="00370974" w:rsidRPr="00370974" w14:paraId="08A2CF3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01DD053"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Cagece</w:t>
            </w:r>
          </w:p>
        </w:tc>
        <w:tc>
          <w:tcPr>
            <w:tcW w:w="1248" w:type="dxa"/>
            <w:hideMark/>
          </w:tcPr>
          <w:p w14:paraId="72CDD73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58,35%</w:t>
            </w:r>
          </w:p>
        </w:tc>
        <w:tc>
          <w:tcPr>
            <w:tcW w:w="1249" w:type="dxa"/>
            <w:hideMark/>
          </w:tcPr>
          <w:p w14:paraId="5DC65BB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69,82%</w:t>
            </w:r>
          </w:p>
        </w:tc>
        <w:tc>
          <w:tcPr>
            <w:tcW w:w="1249" w:type="dxa"/>
            <w:hideMark/>
          </w:tcPr>
          <w:p w14:paraId="1DB9ED6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65,21%</w:t>
            </w:r>
          </w:p>
        </w:tc>
        <w:tc>
          <w:tcPr>
            <w:tcW w:w="1178" w:type="dxa"/>
            <w:hideMark/>
          </w:tcPr>
          <w:p w14:paraId="00D635E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66,20%</w:t>
            </w:r>
          </w:p>
        </w:tc>
        <w:tc>
          <w:tcPr>
            <w:tcW w:w="1093" w:type="dxa"/>
            <w:hideMark/>
          </w:tcPr>
          <w:p w14:paraId="34DFC24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59,59%</w:t>
            </w:r>
          </w:p>
        </w:tc>
        <w:tc>
          <w:tcPr>
            <w:tcW w:w="990" w:type="dxa"/>
            <w:hideMark/>
          </w:tcPr>
          <w:p w14:paraId="072DF1D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59,67%</w:t>
            </w:r>
          </w:p>
        </w:tc>
      </w:tr>
      <w:tr w:rsidR="00370974" w:rsidRPr="00370974" w14:paraId="528E005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F3F22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Cagepa</w:t>
            </w:r>
          </w:p>
        </w:tc>
        <w:tc>
          <w:tcPr>
            <w:tcW w:w="1248" w:type="dxa"/>
            <w:hideMark/>
          </w:tcPr>
          <w:p w14:paraId="719D350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72,10%</w:t>
            </w:r>
          </w:p>
        </w:tc>
        <w:tc>
          <w:tcPr>
            <w:tcW w:w="1249" w:type="dxa"/>
            <w:hideMark/>
          </w:tcPr>
          <w:p w14:paraId="3707CC3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70,52%</w:t>
            </w:r>
          </w:p>
        </w:tc>
        <w:tc>
          <w:tcPr>
            <w:tcW w:w="1249" w:type="dxa"/>
            <w:hideMark/>
          </w:tcPr>
          <w:p w14:paraId="413169D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73,28%</w:t>
            </w:r>
          </w:p>
        </w:tc>
        <w:tc>
          <w:tcPr>
            <w:tcW w:w="1178" w:type="dxa"/>
            <w:hideMark/>
          </w:tcPr>
          <w:p w14:paraId="1FB52DA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74,95%</w:t>
            </w:r>
          </w:p>
        </w:tc>
        <w:tc>
          <w:tcPr>
            <w:tcW w:w="1093" w:type="dxa"/>
            <w:hideMark/>
          </w:tcPr>
          <w:p w14:paraId="04A41D8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80,30%</w:t>
            </w:r>
          </w:p>
        </w:tc>
        <w:tc>
          <w:tcPr>
            <w:tcW w:w="990" w:type="dxa"/>
            <w:hideMark/>
          </w:tcPr>
          <w:p w14:paraId="270DAC0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74,68%</w:t>
            </w:r>
          </w:p>
        </w:tc>
      </w:tr>
      <w:tr w:rsidR="00370974" w:rsidRPr="00370974" w14:paraId="52FE91E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CAF8AA8"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Casal</w:t>
            </w:r>
          </w:p>
        </w:tc>
        <w:tc>
          <w:tcPr>
            <w:tcW w:w="1248" w:type="dxa"/>
            <w:hideMark/>
          </w:tcPr>
          <w:p w14:paraId="6567175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64,09%</w:t>
            </w:r>
          </w:p>
        </w:tc>
        <w:tc>
          <w:tcPr>
            <w:tcW w:w="1249" w:type="dxa"/>
            <w:hideMark/>
          </w:tcPr>
          <w:p w14:paraId="3EF722F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67,79%</w:t>
            </w:r>
          </w:p>
        </w:tc>
        <w:tc>
          <w:tcPr>
            <w:tcW w:w="1249" w:type="dxa"/>
            <w:hideMark/>
          </w:tcPr>
          <w:p w14:paraId="2A047C8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72,39%</w:t>
            </w:r>
          </w:p>
        </w:tc>
        <w:tc>
          <w:tcPr>
            <w:tcW w:w="1178" w:type="dxa"/>
            <w:hideMark/>
          </w:tcPr>
          <w:p w14:paraId="092AF08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71,25%</w:t>
            </w:r>
          </w:p>
        </w:tc>
        <w:tc>
          <w:tcPr>
            <w:tcW w:w="1093" w:type="dxa"/>
            <w:hideMark/>
          </w:tcPr>
          <w:p w14:paraId="4F59896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73,20%</w:t>
            </w:r>
          </w:p>
        </w:tc>
        <w:tc>
          <w:tcPr>
            <w:tcW w:w="990" w:type="dxa"/>
            <w:hideMark/>
          </w:tcPr>
          <w:p w14:paraId="38F9675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73,23%</w:t>
            </w:r>
          </w:p>
        </w:tc>
      </w:tr>
      <w:tr w:rsidR="00370974" w:rsidRPr="00370974" w14:paraId="6C642C2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B2F48B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Casan</w:t>
            </w:r>
          </w:p>
        </w:tc>
        <w:tc>
          <w:tcPr>
            <w:tcW w:w="1248" w:type="dxa"/>
            <w:hideMark/>
          </w:tcPr>
          <w:p w14:paraId="300493F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77,89%</w:t>
            </w:r>
          </w:p>
        </w:tc>
        <w:tc>
          <w:tcPr>
            <w:tcW w:w="1249" w:type="dxa"/>
            <w:hideMark/>
          </w:tcPr>
          <w:p w14:paraId="3AADCA5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77,57%</w:t>
            </w:r>
          </w:p>
        </w:tc>
        <w:tc>
          <w:tcPr>
            <w:tcW w:w="1249" w:type="dxa"/>
            <w:hideMark/>
          </w:tcPr>
          <w:p w14:paraId="38375FD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78,42%</w:t>
            </w:r>
          </w:p>
        </w:tc>
        <w:tc>
          <w:tcPr>
            <w:tcW w:w="1178" w:type="dxa"/>
            <w:hideMark/>
          </w:tcPr>
          <w:p w14:paraId="3F65845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79,05%</w:t>
            </w:r>
          </w:p>
        </w:tc>
        <w:tc>
          <w:tcPr>
            <w:tcW w:w="1093" w:type="dxa"/>
            <w:hideMark/>
          </w:tcPr>
          <w:p w14:paraId="3492DC6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80,84%</w:t>
            </w:r>
          </w:p>
        </w:tc>
        <w:tc>
          <w:tcPr>
            <w:tcW w:w="990" w:type="dxa"/>
            <w:hideMark/>
          </w:tcPr>
          <w:p w14:paraId="011DB98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80,94%</w:t>
            </w:r>
          </w:p>
        </w:tc>
      </w:tr>
      <w:tr w:rsidR="00370974" w:rsidRPr="00370974" w14:paraId="505A22E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9FF2E3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Cedae</w:t>
            </w:r>
          </w:p>
        </w:tc>
        <w:tc>
          <w:tcPr>
            <w:tcW w:w="1248" w:type="dxa"/>
            <w:hideMark/>
          </w:tcPr>
          <w:p w14:paraId="2D9CA2A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86,36%</w:t>
            </w:r>
          </w:p>
        </w:tc>
        <w:tc>
          <w:tcPr>
            <w:tcW w:w="1249" w:type="dxa"/>
            <w:hideMark/>
          </w:tcPr>
          <w:p w14:paraId="6D190D7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85,78%</w:t>
            </w:r>
          </w:p>
        </w:tc>
        <w:tc>
          <w:tcPr>
            <w:tcW w:w="1249" w:type="dxa"/>
            <w:hideMark/>
          </w:tcPr>
          <w:p w14:paraId="7525EFB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85,95%</w:t>
            </w:r>
          </w:p>
        </w:tc>
        <w:tc>
          <w:tcPr>
            <w:tcW w:w="1178" w:type="dxa"/>
            <w:hideMark/>
          </w:tcPr>
          <w:p w14:paraId="4B6ADBF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86,37%</w:t>
            </w:r>
          </w:p>
        </w:tc>
        <w:tc>
          <w:tcPr>
            <w:tcW w:w="1093" w:type="dxa"/>
            <w:hideMark/>
          </w:tcPr>
          <w:p w14:paraId="5D86208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86,41%</w:t>
            </w:r>
          </w:p>
        </w:tc>
        <w:tc>
          <w:tcPr>
            <w:tcW w:w="990" w:type="dxa"/>
            <w:hideMark/>
          </w:tcPr>
          <w:p w14:paraId="7D9B781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89,74%</w:t>
            </w:r>
          </w:p>
        </w:tc>
      </w:tr>
      <w:tr w:rsidR="00370974" w:rsidRPr="00370974" w14:paraId="4DF4366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CF8F193"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Cesan</w:t>
            </w:r>
          </w:p>
        </w:tc>
        <w:tc>
          <w:tcPr>
            <w:tcW w:w="1248" w:type="dxa"/>
            <w:hideMark/>
          </w:tcPr>
          <w:p w14:paraId="6558541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82,95%</w:t>
            </w:r>
          </w:p>
        </w:tc>
        <w:tc>
          <w:tcPr>
            <w:tcW w:w="1249" w:type="dxa"/>
            <w:hideMark/>
          </w:tcPr>
          <w:p w14:paraId="089EDF5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83,38%</w:t>
            </w:r>
          </w:p>
        </w:tc>
        <w:tc>
          <w:tcPr>
            <w:tcW w:w="1249" w:type="dxa"/>
            <w:hideMark/>
          </w:tcPr>
          <w:p w14:paraId="51EA85B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82,13%</w:t>
            </w:r>
          </w:p>
        </w:tc>
        <w:tc>
          <w:tcPr>
            <w:tcW w:w="1178" w:type="dxa"/>
            <w:hideMark/>
          </w:tcPr>
          <w:p w14:paraId="2D187C0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78,32%</w:t>
            </w:r>
          </w:p>
        </w:tc>
        <w:tc>
          <w:tcPr>
            <w:tcW w:w="1093" w:type="dxa"/>
            <w:hideMark/>
          </w:tcPr>
          <w:p w14:paraId="1F5BA58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77,68%</w:t>
            </w:r>
          </w:p>
        </w:tc>
        <w:tc>
          <w:tcPr>
            <w:tcW w:w="990" w:type="dxa"/>
            <w:hideMark/>
          </w:tcPr>
          <w:p w14:paraId="19EA560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79,03%</w:t>
            </w:r>
          </w:p>
        </w:tc>
      </w:tr>
      <w:tr w:rsidR="00370974" w:rsidRPr="00370974" w14:paraId="643BE50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CD79C5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Compesa</w:t>
            </w:r>
          </w:p>
        </w:tc>
        <w:tc>
          <w:tcPr>
            <w:tcW w:w="1248" w:type="dxa"/>
            <w:hideMark/>
          </w:tcPr>
          <w:p w14:paraId="669521F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66,95%</w:t>
            </w:r>
          </w:p>
        </w:tc>
        <w:tc>
          <w:tcPr>
            <w:tcW w:w="1249" w:type="dxa"/>
            <w:hideMark/>
          </w:tcPr>
          <w:p w14:paraId="0245370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68,56%</w:t>
            </w:r>
          </w:p>
        </w:tc>
        <w:tc>
          <w:tcPr>
            <w:tcW w:w="1249" w:type="dxa"/>
            <w:hideMark/>
          </w:tcPr>
          <w:p w14:paraId="345D052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70,71%</w:t>
            </w:r>
          </w:p>
        </w:tc>
        <w:tc>
          <w:tcPr>
            <w:tcW w:w="1178" w:type="dxa"/>
            <w:hideMark/>
          </w:tcPr>
          <w:p w14:paraId="6F9A609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70,94%</w:t>
            </w:r>
          </w:p>
        </w:tc>
        <w:tc>
          <w:tcPr>
            <w:tcW w:w="1093" w:type="dxa"/>
            <w:hideMark/>
          </w:tcPr>
          <w:p w14:paraId="107841A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74,60%</w:t>
            </w:r>
          </w:p>
        </w:tc>
        <w:tc>
          <w:tcPr>
            <w:tcW w:w="990" w:type="dxa"/>
            <w:hideMark/>
          </w:tcPr>
          <w:p w14:paraId="707C1B9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76,25%</w:t>
            </w:r>
          </w:p>
        </w:tc>
      </w:tr>
      <w:tr w:rsidR="00370974" w:rsidRPr="00370974" w14:paraId="72A5205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CDD73E"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Copasa</w:t>
            </w:r>
          </w:p>
        </w:tc>
        <w:tc>
          <w:tcPr>
            <w:tcW w:w="1248" w:type="dxa"/>
            <w:hideMark/>
          </w:tcPr>
          <w:p w14:paraId="3BC74AF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83,81%</w:t>
            </w:r>
          </w:p>
        </w:tc>
        <w:tc>
          <w:tcPr>
            <w:tcW w:w="1249" w:type="dxa"/>
            <w:hideMark/>
          </w:tcPr>
          <w:p w14:paraId="6794306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84,14%</w:t>
            </w:r>
          </w:p>
        </w:tc>
        <w:tc>
          <w:tcPr>
            <w:tcW w:w="1249" w:type="dxa"/>
            <w:hideMark/>
          </w:tcPr>
          <w:p w14:paraId="3B1212F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84,31%</w:t>
            </w:r>
          </w:p>
        </w:tc>
        <w:tc>
          <w:tcPr>
            <w:tcW w:w="1178" w:type="dxa"/>
            <w:hideMark/>
          </w:tcPr>
          <w:p w14:paraId="3F6DAFD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84,41%</w:t>
            </w:r>
          </w:p>
        </w:tc>
        <w:tc>
          <w:tcPr>
            <w:tcW w:w="1093" w:type="dxa"/>
            <w:hideMark/>
          </w:tcPr>
          <w:p w14:paraId="6DFFDAD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84,45%</w:t>
            </w:r>
          </w:p>
        </w:tc>
        <w:tc>
          <w:tcPr>
            <w:tcW w:w="990" w:type="dxa"/>
            <w:hideMark/>
          </w:tcPr>
          <w:p w14:paraId="0B7A6C9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76,98%</w:t>
            </w:r>
          </w:p>
        </w:tc>
      </w:tr>
      <w:tr w:rsidR="00370974" w:rsidRPr="00370974" w14:paraId="4353894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3D6A5F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Corsan</w:t>
            </w:r>
          </w:p>
        </w:tc>
        <w:tc>
          <w:tcPr>
            <w:tcW w:w="1248" w:type="dxa"/>
            <w:hideMark/>
          </w:tcPr>
          <w:p w14:paraId="1CAAA27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74,67%</w:t>
            </w:r>
          </w:p>
        </w:tc>
        <w:tc>
          <w:tcPr>
            <w:tcW w:w="1249" w:type="dxa"/>
            <w:hideMark/>
          </w:tcPr>
          <w:p w14:paraId="59279AF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84,63%</w:t>
            </w:r>
          </w:p>
        </w:tc>
        <w:tc>
          <w:tcPr>
            <w:tcW w:w="1249" w:type="dxa"/>
            <w:hideMark/>
          </w:tcPr>
          <w:p w14:paraId="5F714A4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77,96%</w:t>
            </w:r>
          </w:p>
        </w:tc>
        <w:tc>
          <w:tcPr>
            <w:tcW w:w="1178" w:type="dxa"/>
            <w:hideMark/>
          </w:tcPr>
          <w:p w14:paraId="183C51E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78,73%</w:t>
            </w:r>
          </w:p>
        </w:tc>
        <w:tc>
          <w:tcPr>
            <w:tcW w:w="1093" w:type="dxa"/>
            <w:hideMark/>
          </w:tcPr>
          <w:p w14:paraId="5D1DD96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79,89%</w:t>
            </w:r>
          </w:p>
        </w:tc>
        <w:tc>
          <w:tcPr>
            <w:tcW w:w="990" w:type="dxa"/>
            <w:hideMark/>
          </w:tcPr>
          <w:p w14:paraId="5D2A859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82,77%</w:t>
            </w:r>
          </w:p>
        </w:tc>
      </w:tr>
      <w:tr w:rsidR="00370974" w:rsidRPr="00370974" w14:paraId="55F9A1C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6C76FEA"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Cosanpa</w:t>
            </w:r>
          </w:p>
        </w:tc>
        <w:tc>
          <w:tcPr>
            <w:tcW w:w="1248" w:type="dxa"/>
            <w:hideMark/>
          </w:tcPr>
          <w:p w14:paraId="5C1D6A8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38,85%</w:t>
            </w:r>
          </w:p>
        </w:tc>
        <w:tc>
          <w:tcPr>
            <w:tcW w:w="1249" w:type="dxa"/>
            <w:hideMark/>
          </w:tcPr>
          <w:p w14:paraId="6F8BB27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32,53%</w:t>
            </w:r>
          </w:p>
        </w:tc>
        <w:tc>
          <w:tcPr>
            <w:tcW w:w="1249" w:type="dxa"/>
            <w:hideMark/>
          </w:tcPr>
          <w:p w14:paraId="5D4BB7F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33,13%</w:t>
            </w:r>
          </w:p>
        </w:tc>
        <w:tc>
          <w:tcPr>
            <w:tcW w:w="1178" w:type="dxa"/>
            <w:hideMark/>
          </w:tcPr>
          <w:p w14:paraId="3CDD1BB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32,88%</w:t>
            </w:r>
          </w:p>
        </w:tc>
        <w:tc>
          <w:tcPr>
            <w:tcW w:w="1093" w:type="dxa"/>
            <w:hideMark/>
          </w:tcPr>
          <w:p w14:paraId="097D93B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38,63%</w:t>
            </w:r>
          </w:p>
        </w:tc>
        <w:tc>
          <w:tcPr>
            <w:tcW w:w="990" w:type="dxa"/>
            <w:hideMark/>
          </w:tcPr>
          <w:p w14:paraId="3199024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40,89%</w:t>
            </w:r>
          </w:p>
        </w:tc>
      </w:tr>
      <w:tr w:rsidR="00370974" w:rsidRPr="00370974" w14:paraId="163D68D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4C13C4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Depasa</w:t>
            </w:r>
          </w:p>
        </w:tc>
        <w:tc>
          <w:tcPr>
            <w:tcW w:w="1248" w:type="dxa"/>
            <w:hideMark/>
          </w:tcPr>
          <w:p w14:paraId="6431F42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35,41%</w:t>
            </w:r>
          </w:p>
        </w:tc>
        <w:tc>
          <w:tcPr>
            <w:tcW w:w="1249" w:type="dxa"/>
            <w:hideMark/>
          </w:tcPr>
          <w:p w14:paraId="6B6FD11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39,28%</w:t>
            </w:r>
          </w:p>
        </w:tc>
        <w:tc>
          <w:tcPr>
            <w:tcW w:w="1249" w:type="dxa"/>
            <w:hideMark/>
          </w:tcPr>
          <w:p w14:paraId="3BB501D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61,51%</w:t>
            </w:r>
          </w:p>
        </w:tc>
        <w:tc>
          <w:tcPr>
            <w:tcW w:w="1178" w:type="dxa"/>
            <w:hideMark/>
          </w:tcPr>
          <w:p w14:paraId="2A13C46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42,22%</w:t>
            </w:r>
          </w:p>
        </w:tc>
        <w:tc>
          <w:tcPr>
            <w:tcW w:w="1093" w:type="dxa"/>
            <w:hideMark/>
          </w:tcPr>
          <w:p w14:paraId="5362B1E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44,18%</w:t>
            </w:r>
          </w:p>
        </w:tc>
        <w:tc>
          <w:tcPr>
            <w:tcW w:w="990" w:type="dxa"/>
            <w:hideMark/>
          </w:tcPr>
          <w:p w14:paraId="0C50E3B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46,97%</w:t>
            </w:r>
          </w:p>
        </w:tc>
      </w:tr>
      <w:tr w:rsidR="00370974" w:rsidRPr="00370974" w14:paraId="1FCB725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CEB7C6F"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Deso</w:t>
            </w:r>
          </w:p>
        </w:tc>
        <w:tc>
          <w:tcPr>
            <w:tcW w:w="1248" w:type="dxa"/>
            <w:hideMark/>
          </w:tcPr>
          <w:p w14:paraId="01118BF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78,45%</w:t>
            </w:r>
          </w:p>
        </w:tc>
        <w:tc>
          <w:tcPr>
            <w:tcW w:w="1249" w:type="dxa"/>
            <w:hideMark/>
          </w:tcPr>
          <w:p w14:paraId="19341E5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78,51%</w:t>
            </w:r>
          </w:p>
        </w:tc>
        <w:tc>
          <w:tcPr>
            <w:tcW w:w="1249" w:type="dxa"/>
            <w:hideMark/>
          </w:tcPr>
          <w:p w14:paraId="7F7C904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79,84%</w:t>
            </w:r>
          </w:p>
        </w:tc>
        <w:tc>
          <w:tcPr>
            <w:tcW w:w="1178" w:type="dxa"/>
            <w:hideMark/>
          </w:tcPr>
          <w:p w14:paraId="68B7BA4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80,13%</w:t>
            </w:r>
          </w:p>
        </w:tc>
        <w:tc>
          <w:tcPr>
            <w:tcW w:w="1093" w:type="dxa"/>
            <w:hideMark/>
          </w:tcPr>
          <w:p w14:paraId="6B71831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81,18%</w:t>
            </w:r>
          </w:p>
        </w:tc>
        <w:tc>
          <w:tcPr>
            <w:tcW w:w="990" w:type="dxa"/>
            <w:hideMark/>
          </w:tcPr>
          <w:p w14:paraId="7CBDFE2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81,09%</w:t>
            </w:r>
          </w:p>
        </w:tc>
      </w:tr>
      <w:tr w:rsidR="00370974" w:rsidRPr="00370974" w14:paraId="07948AC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AEE1D3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Embasa</w:t>
            </w:r>
          </w:p>
        </w:tc>
        <w:tc>
          <w:tcPr>
            <w:tcW w:w="1248" w:type="dxa"/>
            <w:hideMark/>
          </w:tcPr>
          <w:p w14:paraId="7BE2B35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74,43%</w:t>
            </w:r>
          </w:p>
        </w:tc>
        <w:tc>
          <w:tcPr>
            <w:tcW w:w="1249" w:type="dxa"/>
            <w:hideMark/>
          </w:tcPr>
          <w:p w14:paraId="430823C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77,68%</w:t>
            </w:r>
          </w:p>
        </w:tc>
        <w:tc>
          <w:tcPr>
            <w:tcW w:w="1249" w:type="dxa"/>
            <w:hideMark/>
          </w:tcPr>
          <w:p w14:paraId="2A520C5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80,10%</w:t>
            </w:r>
          </w:p>
        </w:tc>
        <w:tc>
          <w:tcPr>
            <w:tcW w:w="1178" w:type="dxa"/>
            <w:hideMark/>
          </w:tcPr>
          <w:p w14:paraId="28AF7D0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76,32%</w:t>
            </w:r>
          </w:p>
        </w:tc>
        <w:tc>
          <w:tcPr>
            <w:tcW w:w="1093" w:type="dxa"/>
            <w:hideMark/>
          </w:tcPr>
          <w:p w14:paraId="6F5B79A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77,33%</w:t>
            </w:r>
          </w:p>
        </w:tc>
        <w:tc>
          <w:tcPr>
            <w:tcW w:w="990" w:type="dxa"/>
            <w:hideMark/>
          </w:tcPr>
          <w:p w14:paraId="2358251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77,68%</w:t>
            </w:r>
          </w:p>
        </w:tc>
      </w:tr>
      <w:tr w:rsidR="00370974" w:rsidRPr="00370974" w14:paraId="54D6F84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9D95F7"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Sabesp</w:t>
            </w:r>
          </w:p>
        </w:tc>
        <w:tc>
          <w:tcPr>
            <w:tcW w:w="1248" w:type="dxa"/>
            <w:hideMark/>
          </w:tcPr>
          <w:p w14:paraId="008F071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95,37%</w:t>
            </w:r>
          </w:p>
        </w:tc>
        <w:tc>
          <w:tcPr>
            <w:tcW w:w="1249" w:type="dxa"/>
            <w:hideMark/>
          </w:tcPr>
          <w:p w14:paraId="0A10A9F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95,31%</w:t>
            </w:r>
          </w:p>
        </w:tc>
        <w:tc>
          <w:tcPr>
            <w:tcW w:w="1249" w:type="dxa"/>
            <w:hideMark/>
          </w:tcPr>
          <w:p w14:paraId="3C555F0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95,55%</w:t>
            </w:r>
          </w:p>
        </w:tc>
        <w:tc>
          <w:tcPr>
            <w:tcW w:w="1178" w:type="dxa"/>
            <w:hideMark/>
          </w:tcPr>
          <w:p w14:paraId="322C071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95,40%</w:t>
            </w:r>
          </w:p>
        </w:tc>
        <w:tc>
          <w:tcPr>
            <w:tcW w:w="1093" w:type="dxa"/>
            <w:hideMark/>
          </w:tcPr>
          <w:p w14:paraId="5E18061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95,38%</w:t>
            </w:r>
          </w:p>
        </w:tc>
        <w:tc>
          <w:tcPr>
            <w:tcW w:w="990" w:type="dxa"/>
            <w:hideMark/>
          </w:tcPr>
          <w:p w14:paraId="5AADB3C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94,97%</w:t>
            </w:r>
          </w:p>
        </w:tc>
      </w:tr>
      <w:tr w:rsidR="00370974" w:rsidRPr="00370974" w14:paraId="2BF8A43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60019A8"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Saneago</w:t>
            </w:r>
          </w:p>
        </w:tc>
        <w:tc>
          <w:tcPr>
            <w:tcW w:w="1248" w:type="dxa"/>
            <w:hideMark/>
          </w:tcPr>
          <w:p w14:paraId="5CE515A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81,78%</w:t>
            </w:r>
          </w:p>
        </w:tc>
        <w:tc>
          <w:tcPr>
            <w:tcW w:w="1249" w:type="dxa"/>
            <w:hideMark/>
          </w:tcPr>
          <w:p w14:paraId="5B7C766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83,28%</w:t>
            </w:r>
          </w:p>
        </w:tc>
        <w:tc>
          <w:tcPr>
            <w:tcW w:w="1249" w:type="dxa"/>
            <w:hideMark/>
          </w:tcPr>
          <w:p w14:paraId="50D7BD0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85,07%</w:t>
            </w:r>
          </w:p>
        </w:tc>
        <w:tc>
          <w:tcPr>
            <w:tcW w:w="1178" w:type="dxa"/>
            <w:hideMark/>
          </w:tcPr>
          <w:p w14:paraId="7F7BFE1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85,38%</w:t>
            </w:r>
          </w:p>
        </w:tc>
        <w:tc>
          <w:tcPr>
            <w:tcW w:w="1093" w:type="dxa"/>
            <w:hideMark/>
          </w:tcPr>
          <w:p w14:paraId="52D0F52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86,48%</w:t>
            </w:r>
          </w:p>
        </w:tc>
        <w:tc>
          <w:tcPr>
            <w:tcW w:w="990" w:type="dxa"/>
            <w:hideMark/>
          </w:tcPr>
          <w:p w14:paraId="3558D53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87,11%</w:t>
            </w:r>
          </w:p>
        </w:tc>
      </w:tr>
      <w:tr w:rsidR="00370974" w:rsidRPr="00370974" w14:paraId="4AFE84C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CC0371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val="es-CO" w:eastAsia="es-CO"/>
              </w:rPr>
              <w:t>Saneatins</w:t>
            </w:r>
          </w:p>
        </w:tc>
        <w:tc>
          <w:tcPr>
            <w:tcW w:w="1248" w:type="dxa"/>
            <w:hideMark/>
          </w:tcPr>
          <w:p w14:paraId="750DF27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72,94%</w:t>
            </w:r>
          </w:p>
        </w:tc>
        <w:tc>
          <w:tcPr>
            <w:tcW w:w="1249" w:type="dxa"/>
            <w:hideMark/>
          </w:tcPr>
          <w:p w14:paraId="331B0D1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73,08%</w:t>
            </w:r>
          </w:p>
        </w:tc>
        <w:tc>
          <w:tcPr>
            <w:tcW w:w="1249" w:type="dxa"/>
            <w:hideMark/>
          </w:tcPr>
          <w:p w14:paraId="2FD28AD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71,09%</w:t>
            </w:r>
          </w:p>
        </w:tc>
        <w:tc>
          <w:tcPr>
            <w:tcW w:w="1178" w:type="dxa"/>
            <w:hideMark/>
          </w:tcPr>
          <w:p w14:paraId="3B263A1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81,47%</w:t>
            </w:r>
          </w:p>
        </w:tc>
        <w:tc>
          <w:tcPr>
            <w:tcW w:w="1093" w:type="dxa"/>
            <w:hideMark/>
          </w:tcPr>
          <w:p w14:paraId="4490781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81,64%</w:t>
            </w:r>
          </w:p>
        </w:tc>
        <w:tc>
          <w:tcPr>
            <w:tcW w:w="990" w:type="dxa"/>
            <w:hideMark/>
          </w:tcPr>
          <w:p w14:paraId="755B4F4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89,63%</w:t>
            </w:r>
          </w:p>
        </w:tc>
      </w:tr>
      <w:tr w:rsidR="00370974" w:rsidRPr="00370974" w14:paraId="192C096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139BD7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Sanepar</w:t>
            </w:r>
          </w:p>
        </w:tc>
        <w:tc>
          <w:tcPr>
            <w:tcW w:w="1248" w:type="dxa"/>
            <w:hideMark/>
          </w:tcPr>
          <w:p w14:paraId="3F261D8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87,92%</w:t>
            </w:r>
          </w:p>
        </w:tc>
        <w:tc>
          <w:tcPr>
            <w:tcW w:w="1249" w:type="dxa"/>
            <w:hideMark/>
          </w:tcPr>
          <w:p w14:paraId="3448813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89,41%</w:t>
            </w:r>
          </w:p>
        </w:tc>
        <w:tc>
          <w:tcPr>
            <w:tcW w:w="1249" w:type="dxa"/>
            <w:hideMark/>
          </w:tcPr>
          <w:p w14:paraId="5C91F06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90,62%</w:t>
            </w:r>
          </w:p>
        </w:tc>
        <w:tc>
          <w:tcPr>
            <w:tcW w:w="1178" w:type="dxa"/>
            <w:hideMark/>
          </w:tcPr>
          <w:p w14:paraId="65C0559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91,04%</w:t>
            </w:r>
          </w:p>
        </w:tc>
        <w:tc>
          <w:tcPr>
            <w:tcW w:w="1093" w:type="dxa"/>
            <w:hideMark/>
          </w:tcPr>
          <w:p w14:paraId="1EA0683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91,99%</w:t>
            </w:r>
          </w:p>
        </w:tc>
        <w:tc>
          <w:tcPr>
            <w:tcW w:w="990" w:type="dxa"/>
            <w:hideMark/>
          </w:tcPr>
          <w:p w14:paraId="0ACA97B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92,81%</w:t>
            </w:r>
          </w:p>
        </w:tc>
      </w:tr>
      <w:tr w:rsidR="00370974" w:rsidRPr="00370974" w14:paraId="6C42C43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97067F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Sanesul</w:t>
            </w:r>
          </w:p>
        </w:tc>
        <w:tc>
          <w:tcPr>
            <w:tcW w:w="1248" w:type="dxa"/>
            <w:hideMark/>
          </w:tcPr>
          <w:p w14:paraId="785047A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78,80%</w:t>
            </w:r>
          </w:p>
        </w:tc>
        <w:tc>
          <w:tcPr>
            <w:tcW w:w="1249" w:type="dxa"/>
            <w:hideMark/>
          </w:tcPr>
          <w:p w14:paraId="3AD9362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78,59%</w:t>
            </w:r>
          </w:p>
        </w:tc>
        <w:tc>
          <w:tcPr>
            <w:tcW w:w="1249" w:type="dxa"/>
            <w:hideMark/>
          </w:tcPr>
          <w:p w14:paraId="39FFF68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78,89%</w:t>
            </w:r>
          </w:p>
        </w:tc>
        <w:tc>
          <w:tcPr>
            <w:tcW w:w="1178" w:type="dxa"/>
            <w:hideMark/>
          </w:tcPr>
          <w:p w14:paraId="2BA04F0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79,07%</w:t>
            </w:r>
          </w:p>
        </w:tc>
        <w:tc>
          <w:tcPr>
            <w:tcW w:w="1093" w:type="dxa"/>
            <w:hideMark/>
          </w:tcPr>
          <w:p w14:paraId="4004F17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78,58%</w:t>
            </w:r>
          </w:p>
        </w:tc>
        <w:tc>
          <w:tcPr>
            <w:tcW w:w="990" w:type="dxa"/>
            <w:hideMark/>
          </w:tcPr>
          <w:p w14:paraId="18B17E3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78,73%</w:t>
            </w:r>
          </w:p>
        </w:tc>
      </w:tr>
    </w:tbl>
    <w:p w14:paraId="25048415" w14:textId="620ACE8E" w:rsidR="0040799F" w:rsidRPr="00042F25" w:rsidRDefault="0040799F" w:rsidP="00D322B5">
      <w:pPr>
        <w:pStyle w:val="Descripcin"/>
        <w:spacing w:before="0" w:beforeAutospacing="0"/>
        <w:jc w:val="left"/>
        <w:rPr>
          <w:sz w:val="20"/>
        </w:rPr>
      </w:pPr>
      <w:r w:rsidRPr="00042F25">
        <w:rPr>
          <w:sz w:val="20"/>
        </w:rPr>
        <w:lastRenderedPageBreak/>
        <w:t>Fonte: SNIS 201</w:t>
      </w:r>
      <w:r w:rsidR="00D322B5" w:rsidRPr="00042F25">
        <w:rPr>
          <w:sz w:val="20"/>
        </w:rPr>
        <w:t>5. Elaborado por: GO Associados</w:t>
      </w:r>
    </w:p>
    <w:p w14:paraId="34BC9F92" w14:textId="365918EA" w:rsidR="00117BE1" w:rsidRDefault="00117BE1" w:rsidP="00117BE1">
      <w:pPr>
        <w:pStyle w:val="Descripcin"/>
      </w:pPr>
      <w:bookmarkStart w:id="25" w:name="_Toc493222477"/>
      <w:r w:rsidRPr="00042F25">
        <w:t xml:space="preserve">Quadro </w:t>
      </w:r>
      <w:fldSimple w:instr=" SEQ Quadro \* ARABIC ">
        <w:r w:rsidR="00B64D1C" w:rsidRPr="00042F25">
          <w:rPr>
            <w:noProof/>
          </w:rPr>
          <w:t>14</w:t>
        </w:r>
      </w:fldSimple>
      <w:r w:rsidRPr="00042F25">
        <w:t xml:space="preserve"> – Índice de Atendimento Urbano de Esgoto Referido aos Municípios Atendidos com Água (IN024)</w:t>
      </w:r>
      <w:bookmarkEnd w:id="25"/>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370974" w:rsidRPr="00370974" w14:paraId="44BF15FF"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5823DE7" w14:textId="77777777" w:rsidR="00370974" w:rsidRPr="00370974" w:rsidRDefault="00370974" w:rsidP="00370974">
            <w:pPr>
              <w:spacing w:before="0" w:beforeAutospacing="0" w:after="0" w:afterAutospacing="0" w:line="240" w:lineRule="auto"/>
              <w:ind w:firstLine="0"/>
              <w:jc w:val="left"/>
              <w:rPr>
                <w:b w:val="0"/>
                <w:bCs w:val="0"/>
                <w:color w:val="FFFFFF"/>
                <w:sz w:val="22"/>
                <w:lang w:val="es-CO" w:eastAsia="es-CO"/>
              </w:rPr>
            </w:pPr>
            <w:r w:rsidRPr="00370974">
              <w:rPr>
                <w:b w:val="0"/>
                <w:bCs w:val="0"/>
                <w:color w:val="FFFFFF"/>
                <w:sz w:val="22"/>
                <w:lang w:eastAsia="es-CO"/>
              </w:rPr>
              <w:t>Empresa</w:t>
            </w:r>
          </w:p>
        </w:tc>
        <w:tc>
          <w:tcPr>
            <w:tcW w:w="1248" w:type="dxa"/>
            <w:hideMark/>
          </w:tcPr>
          <w:p w14:paraId="408D7F30"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2010</w:t>
            </w:r>
          </w:p>
        </w:tc>
        <w:tc>
          <w:tcPr>
            <w:tcW w:w="1249" w:type="dxa"/>
            <w:hideMark/>
          </w:tcPr>
          <w:p w14:paraId="0F553E17"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2011</w:t>
            </w:r>
          </w:p>
        </w:tc>
        <w:tc>
          <w:tcPr>
            <w:tcW w:w="1249" w:type="dxa"/>
            <w:hideMark/>
          </w:tcPr>
          <w:p w14:paraId="543BB02D"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2012</w:t>
            </w:r>
          </w:p>
        </w:tc>
        <w:tc>
          <w:tcPr>
            <w:tcW w:w="1178" w:type="dxa"/>
            <w:hideMark/>
          </w:tcPr>
          <w:p w14:paraId="10E2948E"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2013</w:t>
            </w:r>
          </w:p>
        </w:tc>
        <w:tc>
          <w:tcPr>
            <w:tcW w:w="1093" w:type="dxa"/>
            <w:hideMark/>
          </w:tcPr>
          <w:p w14:paraId="5F69B5C5"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2014</w:t>
            </w:r>
          </w:p>
        </w:tc>
        <w:tc>
          <w:tcPr>
            <w:tcW w:w="990" w:type="dxa"/>
            <w:hideMark/>
          </w:tcPr>
          <w:p w14:paraId="756F2A85"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2015</w:t>
            </w:r>
          </w:p>
        </w:tc>
      </w:tr>
      <w:tr w:rsidR="00370974" w:rsidRPr="00370974" w14:paraId="0F0F689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1BB9DD8"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Agespisa</w:t>
            </w:r>
          </w:p>
        </w:tc>
        <w:tc>
          <w:tcPr>
            <w:tcW w:w="1248" w:type="dxa"/>
            <w:hideMark/>
          </w:tcPr>
          <w:p w14:paraId="45A348E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7,78%</w:t>
            </w:r>
          </w:p>
        </w:tc>
        <w:tc>
          <w:tcPr>
            <w:tcW w:w="1249" w:type="dxa"/>
            <w:hideMark/>
          </w:tcPr>
          <w:p w14:paraId="242F985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8,24%</w:t>
            </w:r>
          </w:p>
        </w:tc>
        <w:tc>
          <w:tcPr>
            <w:tcW w:w="1249" w:type="dxa"/>
            <w:hideMark/>
          </w:tcPr>
          <w:p w14:paraId="50F2EDD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8,70%</w:t>
            </w:r>
          </w:p>
        </w:tc>
        <w:tc>
          <w:tcPr>
            <w:tcW w:w="1178" w:type="dxa"/>
            <w:hideMark/>
          </w:tcPr>
          <w:p w14:paraId="129BDEA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9,26%</w:t>
            </w:r>
          </w:p>
        </w:tc>
        <w:tc>
          <w:tcPr>
            <w:tcW w:w="1093" w:type="dxa"/>
            <w:hideMark/>
          </w:tcPr>
          <w:p w14:paraId="00B8617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11,69%</w:t>
            </w:r>
          </w:p>
        </w:tc>
        <w:tc>
          <w:tcPr>
            <w:tcW w:w="990" w:type="dxa"/>
            <w:hideMark/>
          </w:tcPr>
          <w:p w14:paraId="3C7FD4B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12,40%</w:t>
            </w:r>
          </w:p>
        </w:tc>
      </w:tr>
      <w:tr w:rsidR="00370974" w:rsidRPr="00370974" w14:paraId="09854E5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D2B2E9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Caema</w:t>
            </w:r>
          </w:p>
        </w:tc>
        <w:tc>
          <w:tcPr>
            <w:tcW w:w="1248" w:type="dxa"/>
            <w:hideMark/>
          </w:tcPr>
          <w:p w14:paraId="5CA6F4E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16,99%</w:t>
            </w:r>
          </w:p>
        </w:tc>
        <w:tc>
          <w:tcPr>
            <w:tcW w:w="1249" w:type="dxa"/>
            <w:hideMark/>
          </w:tcPr>
          <w:p w14:paraId="0C0E158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16,95%</w:t>
            </w:r>
          </w:p>
        </w:tc>
        <w:tc>
          <w:tcPr>
            <w:tcW w:w="1249" w:type="dxa"/>
            <w:hideMark/>
          </w:tcPr>
          <w:p w14:paraId="135D1DE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17,34%</w:t>
            </w:r>
          </w:p>
        </w:tc>
        <w:tc>
          <w:tcPr>
            <w:tcW w:w="1178" w:type="dxa"/>
            <w:hideMark/>
          </w:tcPr>
          <w:p w14:paraId="76503D4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18,15%</w:t>
            </w:r>
          </w:p>
        </w:tc>
        <w:tc>
          <w:tcPr>
            <w:tcW w:w="1093" w:type="dxa"/>
            <w:hideMark/>
          </w:tcPr>
          <w:p w14:paraId="7F4B558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17,57%</w:t>
            </w:r>
          </w:p>
        </w:tc>
        <w:tc>
          <w:tcPr>
            <w:tcW w:w="990" w:type="dxa"/>
            <w:hideMark/>
          </w:tcPr>
          <w:p w14:paraId="081E328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18,57%</w:t>
            </w:r>
          </w:p>
        </w:tc>
      </w:tr>
      <w:tr w:rsidR="00370974" w:rsidRPr="00370974" w14:paraId="2D38EAE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A1A5B2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w:t>
            </w:r>
          </w:p>
        </w:tc>
        <w:tc>
          <w:tcPr>
            <w:tcW w:w="1248" w:type="dxa"/>
            <w:hideMark/>
          </w:tcPr>
          <w:p w14:paraId="4026FBC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15,42%</w:t>
            </w:r>
          </w:p>
        </w:tc>
        <w:tc>
          <w:tcPr>
            <w:tcW w:w="1249" w:type="dxa"/>
            <w:hideMark/>
          </w:tcPr>
          <w:p w14:paraId="32968FC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24,18%</w:t>
            </w:r>
          </w:p>
        </w:tc>
        <w:tc>
          <w:tcPr>
            <w:tcW w:w="1249" w:type="dxa"/>
            <w:hideMark/>
          </w:tcPr>
          <w:p w14:paraId="5516E13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32,26%</w:t>
            </w:r>
          </w:p>
        </w:tc>
        <w:tc>
          <w:tcPr>
            <w:tcW w:w="1178" w:type="dxa"/>
            <w:hideMark/>
          </w:tcPr>
          <w:p w14:paraId="69CAFAF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32,28%</w:t>
            </w:r>
          </w:p>
        </w:tc>
        <w:tc>
          <w:tcPr>
            <w:tcW w:w="1093" w:type="dxa"/>
            <w:hideMark/>
          </w:tcPr>
          <w:p w14:paraId="2B0A6C2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32,93%</w:t>
            </w:r>
          </w:p>
        </w:tc>
        <w:tc>
          <w:tcPr>
            <w:tcW w:w="990" w:type="dxa"/>
            <w:hideMark/>
          </w:tcPr>
          <w:p w14:paraId="49E33A1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46,86%</w:t>
            </w:r>
          </w:p>
        </w:tc>
      </w:tr>
      <w:tr w:rsidR="00370974" w:rsidRPr="00370974" w14:paraId="43D6DD8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B98C2F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Caerd</w:t>
            </w:r>
          </w:p>
        </w:tc>
        <w:tc>
          <w:tcPr>
            <w:tcW w:w="1248" w:type="dxa"/>
            <w:hideMark/>
          </w:tcPr>
          <w:p w14:paraId="2E7C3AC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0,94%</w:t>
            </w:r>
          </w:p>
        </w:tc>
        <w:tc>
          <w:tcPr>
            <w:tcW w:w="1249" w:type="dxa"/>
            <w:hideMark/>
          </w:tcPr>
          <w:p w14:paraId="6EE87F7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1,47%</w:t>
            </w:r>
          </w:p>
        </w:tc>
        <w:tc>
          <w:tcPr>
            <w:tcW w:w="1249" w:type="dxa"/>
            <w:hideMark/>
          </w:tcPr>
          <w:p w14:paraId="686E225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1,20%</w:t>
            </w:r>
          </w:p>
        </w:tc>
        <w:tc>
          <w:tcPr>
            <w:tcW w:w="1178" w:type="dxa"/>
            <w:hideMark/>
          </w:tcPr>
          <w:p w14:paraId="64291DA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1,45%</w:t>
            </w:r>
          </w:p>
        </w:tc>
        <w:tc>
          <w:tcPr>
            <w:tcW w:w="1093" w:type="dxa"/>
            <w:hideMark/>
          </w:tcPr>
          <w:p w14:paraId="18628D2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1,05%</w:t>
            </w:r>
          </w:p>
        </w:tc>
        <w:tc>
          <w:tcPr>
            <w:tcW w:w="990" w:type="dxa"/>
            <w:hideMark/>
          </w:tcPr>
          <w:p w14:paraId="17CD8E4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1,95%</w:t>
            </w:r>
          </w:p>
        </w:tc>
      </w:tr>
      <w:tr w:rsidR="00370974" w:rsidRPr="00370974" w14:paraId="74DA701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4FC76CE"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Caern</w:t>
            </w:r>
          </w:p>
        </w:tc>
        <w:tc>
          <w:tcPr>
            <w:tcW w:w="1248" w:type="dxa"/>
            <w:hideMark/>
          </w:tcPr>
          <w:p w14:paraId="0466879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22,55%</w:t>
            </w:r>
          </w:p>
        </w:tc>
        <w:tc>
          <w:tcPr>
            <w:tcW w:w="1249" w:type="dxa"/>
            <w:hideMark/>
          </w:tcPr>
          <w:p w14:paraId="6C6D768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23,16%</w:t>
            </w:r>
          </w:p>
        </w:tc>
        <w:tc>
          <w:tcPr>
            <w:tcW w:w="1249" w:type="dxa"/>
            <w:hideMark/>
          </w:tcPr>
          <w:p w14:paraId="3E686FA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25,43%</w:t>
            </w:r>
          </w:p>
        </w:tc>
        <w:tc>
          <w:tcPr>
            <w:tcW w:w="1178" w:type="dxa"/>
            <w:hideMark/>
          </w:tcPr>
          <w:p w14:paraId="47915C3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24,49%</w:t>
            </w:r>
          </w:p>
        </w:tc>
        <w:tc>
          <w:tcPr>
            <w:tcW w:w="1093" w:type="dxa"/>
            <w:hideMark/>
          </w:tcPr>
          <w:p w14:paraId="2E8BD3C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25,26%</w:t>
            </w:r>
          </w:p>
        </w:tc>
        <w:tc>
          <w:tcPr>
            <w:tcW w:w="990" w:type="dxa"/>
            <w:hideMark/>
          </w:tcPr>
          <w:p w14:paraId="4547F6F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26,35%</w:t>
            </w:r>
          </w:p>
        </w:tc>
      </w:tr>
      <w:tr w:rsidR="00370974" w:rsidRPr="00370974" w14:paraId="71CC85F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B0B270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Caesa</w:t>
            </w:r>
          </w:p>
        </w:tc>
        <w:tc>
          <w:tcPr>
            <w:tcW w:w="1248" w:type="dxa"/>
            <w:hideMark/>
          </w:tcPr>
          <w:p w14:paraId="75E611E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4,40%</w:t>
            </w:r>
          </w:p>
        </w:tc>
        <w:tc>
          <w:tcPr>
            <w:tcW w:w="1249" w:type="dxa"/>
            <w:hideMark/>
          </w:tcPr>
          <w:p w14:paraId="164AF38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4,72%</w:t>
            </w:r>
          </w:p>
        </w:tc>
        <w:tc>
          <w:tcPr>
            <w:tcW w:w="1249" w:type="dxa"/>
            <w:hideMark/>
          </w:tcPr>
          <w:p w14:paraId="546DB66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4,69%</w:t>
            </w:r>
          </w:p>
        </w:tc>
        <w:tc>
          <w:tcPr>
            <w:tcW w:w="1178" w:type="dxa"/>
            <w:hideMark/>
          </w:tcPr>
          <w:p w14:paraId="0FFB228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4,60%</w:t>
            </w:r>
          </w:p>
        </w:tc>
        <w:tc>
          <w:tcPr>
            <w:tcW w:w="1093" w:type="dxa"/>
            <w:hideMark/>
          </w:tcPr>
          <w:p w14:paraId="3069373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4,31%</w:t>
            </w:r>
          </w:p>
        </w:tc>
        <w:tc>
          <w:tcPr>
            <w:tcW w:w="990" w:type="dxa"/>
            <w:hideMark/>
          </w:tcPr>
          <w:p w14:paraId="4F790BF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4,23%</w:t>
            </w:r>
          </w:p>
        </w:tc>
      </w:tr>
      <w:tr w:rsidR="00370974" w:rsidRPr="00370974" w14:paraId="296A7E6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E3BB43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Caesb</w:t>
            </w:r>
          </w:p>
        </w:tc>
        <w:tc>
          <w:tcPr>
            <w:tcW w:w="1248" w:type="dxa"/>
            <w:hideMark/>
          </w:tcPr>
          <w:p w14:paraId="637D5C0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97,03%</w:t>
            </w:r>
          </w:p>
        </w:tc>
        <w:tc>
          <w:tcPr>
            <w:tcW w:w="1249" w:type="dxa"/>
            <w:hideMark/>
          </w:tcPr>
          <w:p w14:paraId="5B412FC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97,03%</w:t>
            </w:r>
          </w:p>
        </w:tc>
        <w:tc>
          <w:tcPr>
            <w:tcW w:w="1249" w:type="dxa"/>
            <w:hideMark/>
          </w:tcPr>
          <w:p w14:paraId="6ED36D1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81,97%</w:t>
            </w:r>
          </w:p>
        </w:tc>
        <w:tc>
          <w:tcPr>
            <w:tcW w:w="1178" w:type="dxa"/>
            <w:hideMark/>
          </w:tcPr>
          <w:p w14:paraId="400DE0B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82,73%</w:t>
            </w:r>
          </w:p>
        </w:tc>
        <w:tc>
          <w:tcPr>
            <w:tcW w:w="1093" w:type="dxa"/>
            <w:hideMark/>
          </w:tcPr>
          <w:p w14:paraId="6F732EB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82,11%</w:t>
            </w:r>
          </w:p>
        </w:tc>
        <w:tc>
          <w:tcPr>
            <w:tcW w:w="990" w:type="dxa"/>
            <w:hideMark/>
          </w:tcPr>
          <w:p w14:paraId="30D2FE1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84,51%</w:t>
            </w:r>
          </w:p>
        </w:tc>
      </w:tr>
      <w:tr w:rsidR="00370974" w:rsidRPr="00370974" w14:paraId="6F662E2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5807BFA"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Cagece</w:t>
            </w:r>
          </w:p>
        </w:tc>
        <w:tc>
          <w:tcPr>
            <w:tcW w:w="1248" w:type="dxa"/>
            <w:hideMark/>
          </w:tcPr>
          <w:p w14:paraId="5D210CF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28,80%</w:t>
            </w:r>
          </w:p>
        </w:tc>
        <w:tc>
          <w:tcPr>
            <w:tcW w:w="1249" w:type="dxa"/>
            <w:hideMark/>
          </w:tcPr>
          <w:p w14:paraId="57FC711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35,16%</w:t>
            </w:r>
          </w:p>
        </w:tc>
        <w:tc>
          <w:tcPr>
            <w:tcW w:w="1249" w:type="dxa"/>
            <w:hideMark/>
          </w:tcPr>
          <w:p w14:paraId="0A8C8DF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30,67%</w:t>
            </w:r>
          </w:p>
        </w:tc>
        <w:tc>
          <w:tcPr>
            <w:tcW w:w="1178" w:type="dxa"/>
            <w:hideMark/>
          </w:tcPr>
          <w:p w14:paraId="4D2F6FE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30,12%</w:t>
            </w:r>
          </w:p>
        </w:tc>
        <w:tc>
          <w:tcPr>
            <w:tcW w:w="1093" w:type="dxa"/>
            <w:hideMark/>
          </w:tcPr>
          <w:p w14:paraId="2FE4168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29,24%</w:t>
            </w:r>
          </w:p>
        </w:tc>
        <w:tc>
          <w:tcPr>
            <w:tcW w:w="990" w:type="dxa"/>
            <w:hideMark/>
          </w:tcPr>
          <w:p w14:paraId="5C421D2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29,88%</w:t>
            </w:r>
          </w:p>
        </w:tc>
      </w:tr>
      <w:tr w:rsidR="00370974" w:rsidRPr="00370974" w14:paraId="0213DD8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E0549B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Cagepa</w:t>
            </w:r>
          </w:p>
        </w:tc>
        <w:tc>
          <w:tcPr>
            <w:tcW w:w="1248" w:type="dxa"/>
            <w:hideMark/>
          </w:tcPr>
          <w:p w14:paraId="6BEA9AB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25,52%</w:t>
            </w:r>
          </w:p>
        </w:tc>
        <w:tc>
          <w:tcPr>
            <w:tcW w:w="1249" w:type="dxa"/>
            <w:hideMark/>
          </w:tcPr>
          <w:p w14:paraId="223E747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32,89%</w:t>
            </w:r>
          </w:p>
        </w:tc>
        <w:tc>
          <w:tcPr>
            <w:tcW w:w="1249" w:type="dxa"/>
            <w:hideMark/>
          </w:tcPr>
          <w:p w14:paraId="5107ABC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28,64%</w:t>
            </w:r>
          </w:p>
        </w:tc>
        <w:tc>
          <w:tcPr>
            <w:tcW w:w="1178" w:type="dxa"/>
            <w:hideMark/>
          </w:tcPr>
          <w:p w14:paraId="2E55353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28,06%</w:t>
            </w:r>
          </w:p>
        </w:tc>
        <w:tc>
          <w:tcPr>
            <w:tcW w:w="1093" w:type="dxa"/>
            <w:hideMark/>
          </w:tcPr>
          <w:p w14:paraId="15E6CBC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37,27%</w:t>
            </w:r>
          </w:p>
        </w:tc>
        <w:tc>
          <w:tcPr>
            <w:tcW w:w="990" w:type="dxa"/>
            <w:hideMark/>
          </w:tcPr>
          <w:p w14:paraId="5225755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38,53%</w:t>
            </w:r>
          </w:p>
        </w:tc>
      </w:tr>
      <w:tr w:rsidR="00370974" w:rsidRPr="00370974" w14:paraId="648B16F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F266A18"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Casal</w:t>
            </w:r>
          </w:p>
        </w:tc>
        <w:tc>
          <w:tcPr>
            <w:tcW w:w="1248" w:type="dxa"/>
            <w:hideMark/>
          </w:tcPr>
          <w:p w14:paraId="0FC103B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18,37%</w:t>
            </w:r>
          </w:p>
        </w:tc>
        <w:tc>
          <w:tcPr>
            <w:tcW w:w="1249" w:type="dxa"/>
            <w:hideMark/>
          </w:tcPr>
          <w:p w14:paraId="7AB7A07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18,92%</w:t>
            </w:r>
          </w:p>
        </w:tc>
        <w:tc>
          <w:tcPr>
            <w:tcW w:w="1249" w:type="dxa"/>
            <w:hideMark/>
          </w:tcPr>
          <w:p w14:paraId="71952A5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20,75%</w:t>
            </w:r>
          </w:p>
        </w:tc>
        <w:tc>
          <w:tcPr>
            <w:tcW w:w="1178" w:type="dxa"/>
            <w:hideMark/>
          </w:tcPr>
          <w:p w14:paraId="0286FFF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20,10%</w:t>
            </w:r>
          </w:p>
        </w:tc>
        <w:tc>
          <w:tcPr>
            <w:tcW w:w="1093" w:type="dxa"/>
            <w:hideMark/>
          </w:tcPr>
          <w:p w14:paraId="10155F0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20,29%</w:t>
            </w:r>
          </w:p>
        </w:tc>
        <w:tc>
          <w:tcPr>
            <w:tcW w:w="990" w:type="dxa"/>
            <w:hideMark/>
          </w:tcPr>
          <w:p w14:paraId="1EEC266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19,37%</w:t>
            </w:r>
          </w:p>
        </w:tc>
      </w:tr>
      <w:tr w:rsidR="00370974" w:rsidRPr="00370974" w14:paraId="0EF8C0E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6FDB74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Casan</w:t>
            </w:r>
          </w:p>
        </w:tc>
        <w:tc>
          <w:tcPr>
            <w:tcW w:w="1248" w:type="dxa"/>
            <w:hideMark/>
          </w:tcPr>
          <w:p w14:paraId="0E6C468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14,69%</w:t>
            </w:r>
          </w:p>
        </w:tc>
        <w:tc>
          <w:tcPr>
            <w:tcW w:w="1249" w:type="dxa"/>
            <w:hideMark/>
          </w:tcPr>
          <w:p w14:paraId="6ADA83E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17,92%</w:t>
            </w:r>
          </w:p>
        </w:tc>
        <w:tc>
          <w:tcPr>
            <w:tcW w:w="1249" w:type="dxa"/>
            <w:hideMark/>
          </w:tcPr>
          <w:p w14:paraId="5C0427F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17,23%</w:t>
            </w:r>
          </w:p>
        </w:tc>
        <w:tc>
          <w:tcPr>
            <w:tcW w:w="1178" w:type="dxa"/>
            <w:hideMark/>
          </w:tcPr>
          <w:p w14:paraId="267DF4C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17,65%</w:t>
            </w:r>
          </w:p>
        </w:tc>
        <w:tc>
          <w:tcPr>
            <w:tcW w:w="1093" w:type="dxa"/>
            <w:hideMark/>
          </w:tcPr>
          <w:p w14:paraId="4924BCD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18,32%</w:t>
            </w:r>
          </w:p>
        </w:tc>
        <w:tc>
          <w:tcPr>
            <w:tcW w:w="990" w:type="dxa"/>
            <w:hideMark/>
          </w:tcPr>
          <w:p w14:paraId="216DDE6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19,13%</w:t>
            </w:r>
          </w:p>
        </w:tc>
      </w:tr>
      <w:tr w:rsidR="00370974" w:rsidRPr="00370974" w14:paraId="779E708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80DF27A"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Cedae</w:t>
            </w:r>
          </w:p>
        </w:tc>
        <w:tc>
          <w:tcPr>
            <w:tcW w:w="1248" w:type="dxa"/>
            <w:hideMark/>
          </w:tcPr>
          <w:p w14:paraId="4A1C1CD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52,07%</w:t>
            </w:r>
          </w:p>
        </w:tc>
        <w:tc>
          <w:tcPr>
            <w:tcW w:w="1249" w:type="dxa"/>
            <w:hideMark/>
          </w:tcPr>
          <w:p w14:paraId="338C55E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55,97%</w:t>
            </w:r>
          </w:p>
        </w:tc>
        <w:tc>
          <w:tcPr>
            <w:tcW w:w="1249" w:type="dxa"/>
            <w:hideMark/>
          </w:tcPr>
          <w:p w14:paraId="29C75B6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49,53%</w:t>
            </w:r>
          </w:p>
        </w:tc>
        <w:tc>
          <w:tcPr>
            <w:tcW w:w="1178" w:type="dxa"/>
            <w:hideMark/>
          </w:tcPr>
          <w:p w14:paraId="600B316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49,87%</w:t>
            </w:r>
          </w:p>
        </w:tc>
        <w:tc>
          <w:tcPr>
            <w:tcW w:w="1093" w:type="dxa"/>
            <w:hideMark/>
          </w:tcPr>
          <w:p w14:paraId="2872F6D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49,85%</w:t>
            </w:r>
          </w:p>
        </w:tc>
        <w:tc>
          <w:tcPr>
            <w:tcW w:w="990" w:type="dxa"/>
            <w:hideMark/>
          </w:tcPr>
          <w:p w14:paraId="5D7549D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49,59%</w:t>
            </w:r>
          </w:p>
        </w:tc>
      </w:tr>
      <w:tr w:rsidR="00370974" w:rsidRPr="00370974" w14:paraId="6932247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44EF5EF"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Cesan</w:t>
            </w:r>
          </w:p>
        </w:tc>
        <w:tc>
          <w:tcPr>
            <w:tcW w:w="1248" w:type="dxa"/>
            <w:hideMark/>
          </w:tcPr>
          <w:p w14:paraId="343D890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33,41%</w:t>
            </w:r>
          </w:p>
        </w:tc>
        <w:tc>
          <w:tcPr>
            <w:tcW w:w="1249" w:type="dxa"/>
            <w:hideMark/>
          </w:tcPr>
          <w:p w14:paraId="37BF662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35,08%</w:t>
            </w:r>
          </w:p>
        </w:tc>
        <w:tc>
          <w:tcPr>
            <w:tcW w:w="1249" w:type="dxa"/>
            <w:hideMark/>
          </w:tcPr>
          <w:p w14:paraId="44BFBDD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34,92%</w:t>
            </w:r>
          </w:p>
        </w:tc>
        <w:tc>
          <w:tcPr>
            <w:tcW w:w="1178" w:type="dxa"/>
            <w:hideMark/>
          </w:tcPr>
          <w:p w14:paraId="0AE3A83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36,14%</w:t>
            </w:r>
          </w:p>
        </w:tc>
        <w:tc>
          <w:tcPr>
            <w:tcW w:w="1093" w:type="dxa"/>
            <w:hideMark/>
          </w:tcPr>
          <w:p w14:paraId="5ABA2E0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38,59%</w:t>
            </w:r>
          </w:p>
        </w:tc>
        <w:tc>
          <w:tcPr>
            <w:tcW w:w="990" w:type="dxa"/>
            <w:hideMark/>
          </w:tcPr>
          <w:p w14:paraId="3383FA9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43,08%</w:t>
            </w:r>
          </w:p>
        </w:tc>
      </w:tr>
      <w:tr w:rsidR="00370974" w:rsidRPr="00370974" w14:paraId="7BBD6A1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3AEA5E1"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Compesa</w:t>
            </w:r>
          </w:p>
        </w:tc>
        <w:tc>
          <w:tcPr>
            <w:tcW w:w="1248" w:type="dxa"/>
            <w:hideMark/>
          </w:tcPr>
          <w:p w14:paraId="1E1E73B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17,51%</w:t>
            </w:r>
          </w:p>
        </w:tc>
        <w:tc>
          <w:tcPr>
            <w:tcW w:w="1249" w:type="dxa"/>
            <w:hideMark/>
          </w:tcPr>
          <w:p w14:paraId="114B130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17,87%</w:t>
            </w:r>
          </w:p>
        </w:tc>
        <w:tc>
          <w:tcPr>
            <w:tcW w:w="1249" w:type="dxa"/>
            <w:hideMark/>
          </w:tcPr>
          <w:p w14:paraId="082670B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18,51%</w:t>
            </w:r>
          </w:p>
        </w:tc>
        <w:tc>
          <w:tcPr>
            <w:tcW w:w="1178" w:type="dxa"/>
            <w:hideMark/>
          </w:tcPr>
          <w:p w14:paraId="45BF605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19,01%</w:t>
            </w:r>
          </w:p>
        </w:tc>
        <w:tc>
          <w:tcPr>
            <w:tcW w:w="1093" w:type="dxa"/>
            <w:hideMark/>
          </w:tcPr>
          <w:p w14:paraId="59DFE27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20,31%</w:t>
            </w:r>
          </w:p>
        </w:tc>
        <w:tc>
          <w:tcPr>
            <w:tcW w:w="990" w:type="dxa"/>
            <w:hideMark/>
          </w:tcPr>
          <w:p w14:paraId="7CFFC88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21,34%</w:t>
            </w:r>
          </w:p>
        </w:tc>
      </w:tr>
      <w:tr w:rsidR="00370974" w:rsidRPr="00370974" w14:paraId="54CE083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C9CD0D9"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Copasa</w:t>
            </w:r>
          </w:p>
        </w:tc>
        <w:tc>
          <w:tcPr>
            <w:tcW w:w="1248" w:type="dxa"/>
            <w:hideMark/>
          </w:tcPr>
          <w:p w14:paraId="1704E77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63,15%</w:t>
            </w:r>
          </w:p>
        </w:tc>
        <w:tc>
          <w:tcPr>
            <w:tcW w:w="1249" w:type="dxa"/>
            <w:hideMark/>
          </w:tcPr>
          <w:p w14:paraId="32311A9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66,39%</w:t>
            </w:r>
          </w:p>
        </w:tc>
        <w:tc>
          <w:tcPr>
            <w:tcW w:w="1249" w:type="dxa"/>
            <w:hideMark/>
          </w:tcPr>
          <w:p w14:paraId="20D5386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68,48%</w:t>
            </w:r>
          </w:p>
        </w:tc>
        <w:tc>
          <w:tcPr>
            <w:tcW w:w="1178" w:type="dxa"/>
            <w:hideMark/>
          </w:tcPr>
          <w:p w14:paraId="2EE2317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70,81%</w:t>
            </w:r>
          </w:p>
        </w:tc>
        <w:tc>
          <w:tcPr>
            <w:tcW w:w="1093" w:type="dxa"/>
            <w:hideMark/>
          </w:tcPr>
          <w:p w14:paraId="369199B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72,69%</w:t>
            </w:r>
          </w:p>
        </w:tc>
        <w:tc>
          <w:tcPr>
            <w:tcW w:w="990" w:type="dxa"/>
            <w:hideMark/>
          </w:tcPr>
          <w:p w14:paraId="0AC2233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60,89%</w:t>
            </w:r>
          </w:p>
        </w:tc>
      </w:tr>
      <w:tr w:rsidR="00370974" w:rsidRPr="00370974" w14:paraId="623CCCB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F1DFCE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Corsan</w:t>
            </w:r>
          </w:p>
        </w:tc>
        <w:tc>
          <w:tcPr>
            <w:tcW w:w="1248" w:type="dxa"/>
            <w:hideMark/>
          </w:tcPr>
          <w:p w14:paraId="3C7BD20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10,21%</w:t>
            </w:r>
          </w:p>
        </w:tc>
        <w:tc>
          <w:tcPr>
            <w:tcW w:w="1249" w:type="dxa"/>
            <w:hideMark/>
          </w:tcPr>
          <w:p w14:paraId="7534511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10,08%</w:t>
            </w:r>
          </w:p>
        </w:tc>
        <w:tc>
          <w:tcPr>
            <w:tcW w:w="1249" w:type="dxa"/>
            <w:hideMark/>
          </w:tcPr>
          <w:p w14:paraId="7317F2A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10,03%</w:t>
            </w:r>
          </w:p>
        </w:tc>
        <w:tc>
          <w:tcPr>
            <w:tcW w:w="1178" w:type="dxa"/>
            <w:hideMark/>
          </w:tcPr>
          <w:p w14:paraId="78C541C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10,55%</w:t>
            </w:r>
          </w:p>
        </w:tc>
        <w:tc>
          <w:tcPr>
            <w:tcW w:w="1093" w:type="dxa"/>
            <w:hideMark/>
          </w:tcPr>
          <w:p w14:paraId="4279E11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11,07%</w:t>
            </w:r>
          </w:p>
        </w:tc>
        <w:tc>
          <w:tcPr>
            <w:tcW w:w="990" w:type="dxa"/>
            <w:hideMark/>
          </w:tcPr>
          <w:p w14:paraId="58BCE8D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11,86%</w:t>
            </w:r>
          </w:p>
        </w:tc>
      </w:tr>
      <w:tr w:rsidR="00370974" w:rsidRPr="00370974" w14:paraId="299E74B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185FE5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Cosanpa</w:t>
            </w:r>
          </w:p>
        </w:tc>
        <w:tc>
          <w:tcPr>
            <w:tcW w:w="1248" w:type="dxa"/>
            <w:hideMark/>
          </w:tcPr>
          <w:p w14:paraId="1C7C21F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2,62%</w:t>
            </w:r>
          </w:p>
        </w:tc>
        <w:tc>
          <w:tcPr>
            <w:tcW w:w="1249" w:type="dxa"/>
            <w:hideMark/>
          </w:tcPr>
          <w:p w14:paraId="61307F1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2,33%</w:t>
            </w:r>
          </w:p>
        </w:tc>
        <w:tc>
          <w:tcPr>
            <w:tcW w:w="1249" w:type="dxa"/>
            <w:hideMark/>
          </w:tcPr>
          <w:p w14:paraId="1C8948B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2,38%</w:t>
            </w:r>
          </w:p>
        </w:tc>
        <w:tc>
          <w:tcPr>
            <w:tcW w:w="1178" w:type="dxa"/>
            <w:hideMark/>
          </w:tcPr>
          <w:p w14:paraId="59B74B6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2,42%</w:t>
            </w:r>
          </w:p>
        </w:tc>
        <w:tc>
          <w:tcPr>
            <w:tcW w:w="1093" w:type="dxa"/>
            <w:hideMark/>
          </w:tcPr>
          <w:p w14:paraId="67D48DB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4,45%</w:t>
            </w:r>
          </w:p>
        </w:tc>
        <w:tc>
          <w:tcPr>
            <w:tcW w:w="990" w:type="dxa"/>
            <w:hideMark/>
          </w:tcPr>
          <w:p w14:paraId="604DF43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4,46%</w:t>
            </w:r>
          </w:p>
        </w:tc>
      </w:tr>
      <w:tr w:rsidR="00370974" w:rsidRPr="00370974" w14:paraId="61409F3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EF053B1"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Depasa</w:t>
            </w:r>
          </w:p>
        </w:tc>
        <w:tc>
          <w:tcPr>
            <w:tcW w:w="1248" w:type="dxa"/>
            <w:hideMark/>
          </w:tcPr>
          <w:p w14:paraId="24C7848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0,00%</w:t>
            </w:r>
          </w:p>
        </w:tc>
        <w:tc>
          <w:tcPr>
            <w:tcW w:w="1249" w:type="dxa"/>
            <w:hideMark/>
          </w:tcPr>
          <w:p w14:paraId="1533A64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0,00%</w:t>
            </w:r>
          </w:p>
        </w:tc>
        <w:tc>
          <w:tcPr>
            <w:tcW w:w="1249" w:type="dxa"/>
            <w:hideMark/>
          </w:tcPr>
          <w:p w14:paraId="797EC1F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15,06%</w:t>
            </w:r>
          </w:p>
        </w:tc>
        <w:tc>
          <w:tcPr>
            <w:tcW w:w="1178" w:type="dxa"/>
            <w:hideMark/>
          </w:tcPr>
          <w:p w14:paraId="0EE4083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12,76%</w:t>
            </w:r>
          </w:p>
        </w:tc>
        <w:tc>
          <w:tcPr>
            <w:tcW w:w="1093" w:type="dxa"/>
            <w:hideMark/>
          </w:tcPr>
          <w:p w14:paraId="5D1BAD3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12,77%</w:t>
            </w:r>
          </w:p>
        </w:tc>
        <w:tc>
          <w:tcPr>
            <w:tcW w:w="990" w:type="dxa"/>
            <w:hideMark/>
          </w:tcPr>
          <w:p w14:paraId="09D23B7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14,35%</w:t>
            </w:r>
          </w:p>
        </w:tc>
      </w:tr>
      <w:tr w:rsidR="00370974" w:rsidRPr="00370974" w14:paraId="41273CF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72A0B4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Deso</w:t>
            </w:r>
          </w:p>
        </w:tc>
        <w:tc>
          <w:tcPr>
            <w:tcW w:w="1248" w:type="dxa"/>
            <w:hideMark/>
          </w:tcPr>
          <w:p w14:paraId="72FE8E8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17,42%</w:t>
            </w:r>
          </w:p>
        </w:tc>
        <w:tc>
          <w:tcPr>
            <w:tcW w:w="1249" w:type="dxa"/>
            <w:hideMark/>
          </w:tcPr>
          <w:p w14:paraId="2AADFF8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18,10%</w:t>
            </w:r>
          </w:p>
        </w:tc>
        <w:tc>
          <w:tcPr>
            <w:tcW w:w="1249" w:type="dxa"/>
            <w:hideMark/>
          </w:tcPr>
          <w:p w14:paraId="7030798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18,52%</w:t>
            </w:r>
          </w:p>
        </w:tc>
        <w:tc>
          <w:tcPr>
            <w:tcW w:w="1178" w:type="dxa"/>
            <w:hideMark/>
          </w:tcPr>
          <w:p w14:paraId="0EB3966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18,85%</w:t>
            </w:r>
          </w:p>
        </w:tc>
        <w:tc>
          <w:tcPr>
            <w:tcW w:w="1093" w:type="dxa"/>
            <w:hideMark/>
          </w:tcPr>
          <w:p w14:paraId="1A9CA27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20,17%</w:t>
            </w:r>
          </w:p>
        </w:tc>
        <w:tc>
          <w:tcPr>
            <w:tcW w:w="990" w:type="dxa"/>
            <w:hideMark/>
          </w:tcPr>
          <w:p w14:paraId="06107A0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21,65%</w:t>
            </w:r>
          </w:p>
        </w:tc>
      </w:tr>
      <w:tr w:rsidR="00370974" w:rsidRPr="00370974" w14:paraId="1CD2EEE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95B577B"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Embasa</w:t>
            </w:r>
          </w:p>
        </w:tc>
        <w:tc>
          <w:tcPr>
            <w:tcW w:w="1248" w:type="dxa"/>
            <w:hideMark/>
          </w:tcPr>
          <w:p w14:paraId="6037CB8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34,83%</w:t>
            </w:r>
          </w:p>
        </w:tc>
        <w:tc>
          <w:tcPr>
            <w:tcW w:w="1249" w:type="dxa"/>
            <w:hideMark/>
          </w:tcPr>
          <w:p w14:paraId="578886B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37,39%</w:t>
            </w:r>
          </w:p>
        </w:tc>
        <w:tc>
          <w:tcPr>
            <w:tcW w:w="1249" w:type="dxa"/>
            <w:hideMark/>
          </w:tcPr>
          <w:p w14:paraId="2BA5C21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40,05%</w:t>
            </w:r>
          </w:p>
        </w:tc>
        <w:tc>
          <w:tcPr>
            <w:tcW w:w="1178" w:type="dxa"/>
            <w:hideMark/>
          </w:tcPr>
          <w:p w14:paraId="11131C5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39,22%</w:t>
            </w:r>
          </w:p>
        </w:tc>
        <w:tc>
          <w:tcPr>
            <w:tcW w:w="1093" w:type="dxa"/>
            <w:hideMark/>
          </w:tcPr>
          <w:p w14:paraId="2532C30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41,21%</w:t>
            </w:r>
          </w:p>
        </w:tc>
        <w:tc>
          <w:tcPr>
            <w:tcW w:w="990" w:type="dxa"/>
            <w:hideMark/>
          </w:tcPr>
          <w:p w14:paraId="27705E0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43,46%</w:t>
            </w:r>
          </w:p>
        </w:tc>
      </w:tr>
      <w:tr w:rsidR="00370974" w:rsidRPr="00370974" w14:paraId="1C98E31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3240A01"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Sabesp</w:t>
            </w:r>
          </w:p>
        </w:tc>
        <w:tc>
          <w:tcPr>
            <w:tcW w:w="1248" w:type="dxa"/>
            <w:hideMark/>
          </w:tcPr>
          <w:p w14:paraId="78A0AC6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86,15%</w:t>
            </w:r>
          </w:p>
        </w:tc>
        <w:tc>
          <w:tcPr>
            <w:tcW w:w="1249" w:type="dxa"/>
            <w:hideMark/>
          </w:tcPr>
          <w:p w14:paraId="470264F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87,12%</w:t>
            </w:r>
          </w:p>
        </w:tc>
        <w:tc>
          <w:tcPr>
            <w:tcW w:w="1249" w:type="dxa"/>
            <w:hideMark/>
          </w:tcPr>
          <w:p w14:paraId="41E88CF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87,69%</w:t>
            </w:r>
          </w:p>
        </w:tc>
        <w:tc>
          <w:tcPr>
            <w:tcW w:w="1178" w:type="dxa"/>
            <w:hideMark/>
          </w:tcPr>
          <w:p w14:paraId="117561F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87,66%</w:t>
            </w:r>
          </w:p>
        </w:tc>
        <w:tc>
          <w:tcPr>
            <w:tcW w:w="1093" w:type="dxa"/>
            <w:hideMark/>
          </w:tcPr>
          <w:p w14:paraId="5F3AE51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88,64%</w:t>
            </w:r>
          </w:p>
        </w:tc>
        <w:tc>
          <w:tcPr>
            <w:tcW w:w="990" w:type="dxa"/>
            <w:hideMark/>
          </w:tcPr>
          <w:p w14:paraId="71747AD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88,46%</w:t>
            </w:r>
          </w:p>
        </w:tc>
      </w:tr>
      <w:tr w:rsidR="00370974" w:rsidRPr="00370974" w14:paraId="05843F8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04BEB1A"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Saneago</w:t>
            </w:r>
          </w:p>
        </w:tc>
        <w:tc>
          <w:tcPr>
            <w:tcW w:w="1248" w:type="dxa"/>
            <w:hideMark/>
          </w:tcPr>
          <w:p w14:paraId="6B871BC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40,24%</w:t>
            </w:r>
          </w:p>
        </w:tc>
        <w:tc>
          <w:tcPr>
            <w:tcW w:w="1249" w:type="dxa"/>
            <w:hideMark/>
          </w:tcPr>
          <w:p w14:paraId="3942CC7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42,01%</w:t>
            </w:r>
          </w:p>
        </w:tc>
        <w:tc>
          <w:tcPr>
            <w:tcW w:w="1249" w:type="dxa"/>
            <w:hideMark/>
          </w:tcPr>
          <w:p w14:paraId="52AA92D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44,65%</w:t>
            </w:r>
          </w:p>
        </w:tc>
        <w:tc>
          <w:tcPr>
            <w:tcW w:w="1178" w:type="dxa"/>
            <w:hideMark/>
          </w:tcPr>
          <w:p w14:paraId="74D1643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45,85%</w:t>
            </w:r>
          </w:p>
        </w:tc>
        <w:tc>
          <w:tcPr>
            <w:tcW w:w="1093" w:type="dxa"/>
            <w:hideMark/>
          </w:tcPr>
          <w:p w14:paraId="1FFE0E0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49,87%</w:t>
            </w:r>
          </w:p>
        </w:tc>
        <w:tc>
          <w:tcPr>
            <w:tcW w:w="990" w:type="dxa"/>
            <w:hideMark/>
          </w:tcPr>
          <w:p w14:paraId="706C4AF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53,16%</w:t>
            </w:r>
          </w:p>
        </w:tc>
      </w:tr>
      <w:tr w:rsidR="00370974" w:rsidRPr="00370974" w14:paraId="21E7745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D8592E1"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val="es-CO" w:eastAsia="es-CO"/>
              </w:rPr>
              <w:t>Saneatins</w:t>
            </w:r>
          </w:p>
        </w:tc>
        <w:tc>
          <w:tcPr>
            <w:tcW w:w="1248" w:type="dxa"/>
            <w:hideMark/>
          </w:tcPr>
          <w:p w14:paraId="4860991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17,08%</w:t>
            </w:r>
          </w:p>
        </w:tc>
        <w:tc>
          <w:tcPr>
            <w:tcW w:w="1249" w:type="dxa"/>
            <w:hideMark/>
          </w:tcPr>
          <w:p w14:paraId="3CDE72B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17,04%</w:t>
            </w:r>
          </w:p>
        </w:tc>
        <w:tc>
          <w:tcPr>
            <w:tcW w:w="1249" w:type="dxa"/>
            <w:hideMark/>
          </w:tcPr>
          <w:p w14:paraId="3CE351B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20,00%</w:t>
            </w:r>
          </w:p>
        </w:tc>
        <w:tc>
          <w:tcPr>
            <w:tcW w:w="1178" w:type="dxa"/>
            <w:hideMark/>
          </w:tcPr>
          <w:p w14:paraId="77C18EC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19,62%</w:t>
            </w:r>
          </w:p>
        </w:tc>
        <w:tc>
          <w:tcPr>
            <w:tcW w:w="1093" w:type="dxa"/>
            <w:hideMark/>
          </w:tcPr>
          <w:p w14:paraId="57901B5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26,16%</w:t>
            </w:r>
          </w:p>
        </w:tc>
        <w:tc>
          <w:tcPr>
            <w:tcW w:w="990" w:type="dxa"/>
            <w:hideMark/>
          </w:tcPr>
          <w:p w14:paraId="4E760D4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32,23%</w:t>
            </w:r>
          </w:p>
        </w:tc>
      </w:tr>
      <w:tr w:rsidR="00370974" w:rsidRPr="00370974" w14:paraId="74D2A06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76725DE"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Sanepar</w:t>
            </w:r>
          </w:p>
        </w:tc>
        <w:tc>
          <w:tcPr>
            <w:tcW w:w="1248" w:type="dxa"/>
            <w:hideMark/>
          </w:tcPr>
          <w:p w14:paraId="5B247D9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61,84%</w:t>
            </w:r>
          </w:p>
        </w:tc>
        <w:tc>
          <w:tcPr>
            <w:tcW w:w="1249" w:type="dxa"/>
            <w:hideMark/>
          </w:tcPr>
          <w:p w14:paraId="21F27EF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65,23%</w:t>
            </w:r>
          </w:p>
        </w:tc>
        <w:tc>
          <w:tcPr>
            <w:tcW w:w="1249" w:type="dxa"/>
            <w:hideMark/>
          </w:tcPr>
          <w:p w14:paraId="6EFEA32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69,25%</w:t>
            </w:r>
          </w:p>
        </w:tc>
        <w:tc>
          <w:tcPr>
            <w:tcW w:w="1178" w:type="dxa"/>
            <w:hideMark/>
          </w:tcPr>
          <w:p w14:paraId="39C5D09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71,16%</w:t>
            </w:r>
          </w:p>
        </w:tc>
        <w:tc>
          <w:tcPr>
            <w:tcW w:w="1093" w:type="dxa"/>
            <w:hideMark/>
          </w:tcPr>
          <w:p w14:paraId="74DFADA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71,10%</w:t>
            </w:r>
          </w:p>
        </w:tc>
        <w:tc>
          <w:tcPr>
            <w:tcW w:w="990" w:type="dxa"/>
            <w:hideMark/>
          </w:tcPr>
          <w:p w14:paraId="441500F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76,70%</w:t>
            </w:r>
          </w:p>
        </w:tc>
      </w:tr>
      <w:tr w:rsidR="00370974" w:rsidRPr="00370974" w14:paraId="556A528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F61653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Sanesul</w:t>
            </w:r>
          </w:p>
        </w:tc>
        <w:tc>
          <w:tcPr>
            <w:tcW w:w="1248" w:type="dxa"/>
            <w:hideMark/>
          </w:tcPr>
          <w:p w14:paraId="6675C7E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13,00%</w:t>
            </w:r>
          </w:p>
        </w:tc>
        <w:tc>
          <w:tcPr>
            <w:tcW w:w="1249" w:type="dxa"/>
            <w:hideMark/>
          </w:tcPr>
          <w:p w14:paraId="4F81B9B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17,76%</w:t>
            </w:r>
          </w:p>
        </w:tc>
        <w:tc>
          <w:tcPr>
            <w:tcW w:w="1249" w:type="dxa"/>
            <w:hideMark/>
          </w:tcPr>
          <w:p w14:paraId="3EBF479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19,99%</w:t>
            </w:r>
          </w:p>
        </w:tc>
        <w:tc>
          <w:tcPr>
            <w:tcW w:w="1178" w:type="dxa"/>
            <w:hideMark/>
          </w:tcPr>
          <w:p w14:paraId="4B29A9E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23,71%</w:t>
            </w:r>
          </w:p>
        </w:tc>
        <w:tc>
          <w:tcPr>
            <w:tcW w:w="1093" w:type="dxa"/>
            <w:hideMark/>
          </w:tcPr>
          <w:p w14:paraId="18687C3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29,08%</w:t>
            </w:r>
          </w:p>
        </w:tc>
        <w:tc>
          <w:tcPr>
            <w:tcW w:w="990" w:type="dxa"/>
            <w:hideMark/>
          </w:tcPr>
          <w:p w14:paraId="7B71BCF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32,29%</w:t>
            </w:r>
          </w:p>
        </w:tc>
      </w:tr>
    </w:tbl>
    <w:p w14:paraId="4E7D98F7" w14:textId="14B3378C" w:rsidR="00117BE1" w:rsidRPr="00042F25" w:rsidRDefault="00117BE1" w:rsidP="00117BE1">
      <w:pPr>
        <w:pStyle w:val="Descripcin"/>
        <w:spacing w:before="0" w:beforeAutospacing="0"/>
        <w:jc w:val="left"/>
        <w:rPr>
          <w:sz w:val="20"/>
        </w:rPr>
      </w:pPr>
      <w:r w:rsidRPr="00042F25">
        <w:rPr>
          <w:sz w:val="20"/>
        </w:rPr>
        <w:t>Fonte: SNIS 2015. Elaborado por: GO Associados</w:t>
      </w:r>
    </w:p>
    <w:p w14:paraId="39979C39" w14:textId="717524A7" w:rsidR="00117BE1" w:rsidRDefault="00117BE1" w:rsidP="00117BE1">
      <w:pPr>
        <w:pStyle w:val="Descripcin"/>
      </w:pPr>
      <w:bookmarkStart w:id="26" w:name="_Toc493222478"/>
      <w:r w:rsidRPr="00042F25">
        <w:t xml:space="preserve">Quadro </w:t>
      </w:r>
      <w:fldSimple w:instr=" SEQ Quadro \* ARABIC ">
        <w:r w:rsidR="00B64D1C" w:rsidRPr="00042F25">
          <w:rPr>
            <w:noProof/>
          </w:rPr>
          <w:t>15</w:t>
        </w:r>
      </w:fldSimple>
      <w:r w:rsidRPr="00042F25">
        <w:t xml:space="preserve"> – Índice de Atendimento Total de Esgoto Referido aos Municípios Atendidos com Água (IN056)</w:t>
      </w:r>
      <w:bookmarkEnd w:id="26"/>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370974" w:rsidRPr="00370974" w14:paraId="0F9386E9" w14:textId="77777777" w:rsidTr="00EA348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DAD3B17" w14:textId="77777777" w:rsidR="00370974" w:rsidRPr="00370974" w:rsidRDefault="00370974" w:rsidP="00370974">
            <w:pPr>
              <w:spacing w:before="0" w:beforeAutospacing="0" w:after="0" w:afterAutospacing="0" w:line="240" w:lineRule="auto"/>
              <w:ind w:firstLine="0"/>
              <w:jc w:val="left"/>
              <w:rPr>
                <w:b w:val="0"/>
                <w:bCs w:val="0"/>
                <w:color w:val="FFFFFF"/>
                <w:sz w:val="22"/>
                <w:lang w:val="es-CO" w:eastAsia="es-CO"/>
              </w:rPr>
            </w:pPr>
            <w:r w:rsidRPr="00370974">
              <w:rPr>
                <w:b w:val="0"/>
                <w:bCs w:val="0"/>
                <w:color w:val="FFFFFF"/>
                <w:sz w:val="22"/>
                <w:lang w:eastAsia="es-CO"/>
              </w:rPr>
              <w:t>Empresa</w:t>
            </w:r>
          </w:p>
        </w:tc>
        <w:tc>
          <w:tcPr>
            <w:tcW w:w="1248" w:type="dxa"/>
            <w:hideMark/>
          </w:tcPr>
          <w:p w14:paraId="19C0AAF0"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2010</w:t>
            </w:r>
          </w:p>
        </w:tc>
        <w:tc>
          <w:tcPr>
            <w:tcW w:w="1249" w:type="dxa"/>
            <w:hideMark/>
          </w:tcPr>
          <w:p w14:paraId="0F6A7AE7"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2011</w:t>
            </w:r>
          </w:p>
        </w:tc>
        <w:tc>
          <w:tcPr>
            <w:tcW w:w="1249" w:type="dxa"/>
            <w:hideMark/>
          </w:tcPr>
          <w:p w14:paraId="02F9AEDD"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2012</w:t>
            </w:r>
          </w:p>
        </w:tc>
        <w:tc>
          <w:tcPr>
            <w:tcW w:w="1178" w:type="dxa"/>
            <w:hideMark/>
          </w:tcPr>
          <w:p w14:paraId="3FB5F794"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2013</w:t>
            </w:r>
          </w:p>
        </w:tc>
        <w:tc>
          <w:tcPr>
            <w:tcW w:w="1093" w:type="dxa"/>
            <w:hideMark/>
          </w:tcPr>
          <w:p w14:paraId="42E7B173"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2014</w:t>
            </w:r>
          </w:p>
        </w:tc>
        <w:tc>
          <w:tcPr>
            <w:tcW w:w="990" w:type="dxa"/>
            <w:hideMark/>
          </w:tcPr>
          <w:p w14:paraId="4D8F5A99" w14:textId="77777777" w:rsidR="00370974" w:rsidRPr="00370974" w:rsidRDefault="00370974" w:rsidP="00370974">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370974">
              <w:rPr>
                <w:b w:val="0"/>
                <w:bCs w:val="0"/>
                <w:color w:val="FFFFFF"/>
                <w:sz w:val="22"/>
                <w:lang w:eastAsia="es-CO"/>
              </w:rPr>
              <w:t>2015</w:t>
            </w:r>
          </w:p>
        </w:tc>
      </w:tr>
      <w:tr w:rsidR="00370974" w:rsidRPr="00370974" w14:paraId="141DB4D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9AB5EA1"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Agespisa</w:t>
            </w:r>
          </w:p>
        </w:tc>
        <w:tc>
          <w:tcPr>
            <w:tcW w:w="1248" w:type="dxa"/>
            <w:hideMark/>
          </w:tcPr>
          <w:p w14:paraId="2E5A12F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5,39%</w:t>
            </w:r>
          </w:p>
        </w:tc>
        <w:tc>
          <w:tcPr>
            <w:tcW w:w="1249" w:type="dxa"/>
            <w:hideMark/>
          </w:tcPr>
          <w:p w14:paraId="50975F3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5,71%</w:t>
            </w:r>
          </w:p>
        </w:tc>
        <w:tc>
          <w:tcPr>
            <w:tcW w:w="1249" w:type="dxa"/>
            <w:hideMark/>
          </w:tcPr>
          <w:p w14:paraId="5A2C524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6,03%</w:t>
            </w:r>
          </w:p>
        </w:tc>
        <w:tc>
          <w:tcPr>
            <w:tcW w:w="1178" w:type="dxa"/>
            <w:hideMark/>
          </w:tcPr>
          <w:p w14:paraId="715DB92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6,43%</w:t>
            </w:r>
          </w:p>
        </w:tc>
        <w:tc>
          <w:tcPr>
            <w:tcW w:w="1093" w:type="dxa"/>
            <w:hideMark/>
          </w:tcPr>
          <w:p w14:paraId="3394BF9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8,12%</w:t>
            </w:r>
          </w:p>
        </w:tc>
        <w:tc>
          <w:tcPr>
            <w:tcW w:w="990" w:type="dxa"/>
            <w:hideMark/>
          </w:tcPr>
          <w:p w14:paraId="6C870D7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8,61%</w:t>
            </w:r>
          </w:p>
        </w:tc>
      </w:tr>
      <w:tr w:rsidR="00370974" w:rsidRPr="00370974" w14:paraId="0B87DBE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2AEEDE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Caema</w:t>
            </w:r>
          </w:p>
        </w:tc>
        <w:tc>
          <w:tcPr>
            <w:tcW w:w="1248" w:type="dxa"/>
            <w:hideMark/>
          </w:tcPr>
          <w:p w14:paraId="1BE8817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10,91%</w:t>
            </w:r>
          </w:p>
        </w:tc>
        <w:tc>
          <w:tcPr>
            <w:tcW w:w="1249" w:type="dxa"/>
            <w:hideMark/>
          </w:tcPr>
          <w:p w14:paraId="41BAA87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10,89%</w:t>
            </w:r>
          </w:p>
        </w:tc>
        <w:tc>
          <w:tcPr>
            <w:tcW w:w="1249" w:type="dxa"/>
            <w:hideMark/>
          </w:tcPr>
          <w:p w14:paraId="30DCA91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11,81%</w:t>
            </w:r>
          </w:p>
        </w:tc>
        <w:tc>
          <w:tcPr>
            <w:tcW w:w="1178" w:type="dxa"/>
            <w:hideMark/>
          </w:tcPr>
          <w:p w14:paraId="1C50312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11,69%</w:t>
            </w:r>
          </w:p>
        </w:tc>
        <w:tc>
          <w:tcPr>
            <w:tcW w:w="1093" w:type="dxa"/>
            <w:hideMark/>
          </w:tcPr>
          <w:p w14:paraId="4B7B3FF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11,53%</w:t>
            </w:r>
          </w:p>
        </w:tc>
        <w:tc>
          <w:tcPr>
            <w:tcW w:w="990" w:type="dxa"/>
            <w:hideMark/>
          </w:tcPr>
          <w:p w14:paraId="5251146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12,19%</w:t>
            </w:r>
          </w:p>
        </w:tc>
      </w:tr>
      <w:tr w:rsidR="00370974" w:rsidRPr="00370974" w14:paraId="4DE9154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60C00C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w:t>
            </w:r>
          </w:p>
        </w:tc>
        <w:tc>
          <w:tcPr>
            <w:tcW w:w="1248" w:type="dxa"/>
            <w:hideMark/>
          </w:tcPr>
          <w:p w14:paraId="45861C7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11,80%</w:t>
            </w:r>
          </w:p>
        </w:tc>
        <w:tc>
          <w:tcPr>
            <w:tcW w:w="1249" w:type="dxa"/>
            <w:hideMark/>
          </w:tcPr>
          <w:p w14:paraId="44FFFE1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18,52%</w:t>
            </w:r>
          </w:p>
        </w:tc>
        <w:tc>
          <w:tcPr>
            <w:tcW w:w="1249" w:type="dxa"/>
            <w:hideMark/>
          </w:tcPr>
          <w:p w14:paraId="2BC39CE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24,72%</w:t>
            </w:r>
          </w:p>
        </w:tc>
        <w:tc>
          <w:tcPr>
            <w:tcW w:w="1178" w:type="dxa"/>
            <w:hideMark/>
          </w:tcPr>
          <w:p w14:paraId="0A67675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24,74%</w:t>
            </w:r>
          </w:p>
        </w:tc>
        <w:tc>
          <w:tcPr>
            <w:tcW w:w="1093" w:type="dxa"/>
            <w:hideMark/>
          </w:tcPr>
          <w:p w14:paraId="3BF4667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25,25%</w:t>
            </w:r>
          </w:p>
        </w:tc>
        <w:tc>
          <w:tcPr>
            <w:tcW w:w="990" w:type="dxa"/>
            <w:hideMark/>
          </w:tcPr>
          <w:p w14:paraId="2A0CF39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35,94%</w:t>
            </w:r>
          </w:p>
        </w:tc>
      </w:tr>
      <w:tr w:rsidR="00370974" w:rsidRPr="00370974" w14:paraId="06428ED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1E264EB"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Caerd</w:t>
            </w:r>
          </w:p>
        </w:tc>
        <w:tc>
          <w:tcPr>
            <w:tcW w:w="1248" w:type="dxa"/>
            <w:hideMark/>
          </w:tcPr>
          <w:p w14:paraId="6546453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0,70%</w:t>
            </w:r>
          </w:p>
        </w:tc>
        <w:tc>
          <w:tcPr>
            <w:tcW w:w="1249" w:type="dxa"/>
            <w:hideMark/>
          </w:tcPr>
          <w:p w14:paraId="53DA318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1,10%</w:t>
            </w:r>
          </w:p>
        </w:tc>
        <w:tc>
          <w:tcPr>
            <w:tcW w:w="1249" w:type="dxa"/>
            <w:hideMark/>
          </w:tcPr>
          <w:p w14:paraId="74AA59F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0,90%</w:t>
            </w:r>
          </w:p>
        </w:tc>
        <w:tc>
          <w:tcPr>
            <w:tcW w:w="1178" w:type="dxa"/>
            <w:hideMark/>
          </w:tcPr>
          <w:p w14:paraId="464A175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1,09%</w:t>
            </w:r>
          </w:p>
        </w:tc>
        <w:tc>
          <w:tcPr>
            <w:tcW w:w="1093" w:type="dxa"/>
            <w:hideMark/>
          </w:tcPr>
          <w:p w14:paraId="236F6BA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0,89%</w:t>
            </w:r>
          </w:p>
        </w:tc>
        <w:tc>
          <w:tcPr>
            <w:tcW w:w="990" w:type="dxa"/>
            <w:hideMark/>
          </w:tcPr>
          <w:p w14:paraId="0481E53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1,47%</w:t>
            </w:r>
          </w:p>
        </w:tc>
      </w:tr>
      <w:tr w:rsidR="00370974" w:rsidRPr="00370974" w14:paraId="2E25AA2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26EF2F3"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Caern</w:t>
            </w:r>
          </w:p>
        </w:tc>
        <w:tc>
          <w:tcPr>
            <w:tcW w:w="1248" w:type="dxa"/>
            <w:hideMark/>
          </w:tcPr>
          <w:p w14:paraId="356B1F2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17,77%</w:t>
            </w:r>
          </w:p>
        </w:tc>
        <w:tc>
          <w:tcPr>
            <w:tcW w:w="1249" w:type="dxa"/>
            <w:hideMark/>
          </w:tcPr>
          <w:p w14:paraId="6996206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18,26%</w:t>
            </w:r>
          </w:p>
        </w:tc>
        <w:tc>
          <w:tcPr>
            <w:tcW w:w="1249" w:type="dxa"/>
            <w:hideMark/>
          </w:tcPr>
          <w:p w14:paraId="3F672E4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20,10%</w:t>
            </w:r>
          </w:p>
        </w:tc>
        <w:tc>
          <w:tcPr>
            <w:tcW w:w="1178" w:type="dxa"/>
            <w:hideMark/>
          </w:tcPr>
          <w:p w14:paraId="7467E9A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19,37%</w:t>
            </w:r>
          </w:p>
        </w:tc>
        <w:tc>
          <w:tcPr>
            <w:tcW w:w="1093" w:type="dxa"/>
            <w:hideMark/>
          </w:tcPr>
          <w:p w14:paraId="517AC56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19,99%</w:t>
            </w:r>
          </w:p>
        </w:tc>
        <w:tc>
          <w:tcPr>
            <w:tcW w:w="990" w:type="dxa"/>
            <w:hideMark/>
          </w:tcPr>
          <w:p w14:paraId="6DF3699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20,78%</w:t>
            </w:r>
          </w:p>
        </w:tc>
      </w:tr>
      <w:tr w:rsidR="00370974" w:rsidRPr="00370974" w14:paraId="67B7AB9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5FD8949"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Caesa</w:t>
            </w:r>
          </w:p>
        </w:tc>
        <w:tc>
          <w:tcPr>
            <w:tcW w:w="1248" w:type="dxa"/>
            <w:hideMark/>
          </w:tcPr>
          <w:p w14:paraId="1A889DA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3,95%</w:t>
            </w:r>
          </w:p>
        </w:tc>
        <w:tc>
          <w:tcPr>
            <w:tcW w:w="1249" w:type="dxa"/>
            <w:hideMark/>
          </w:tcPr>
          <w:p w14:paraId="0615958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4,24%</w:t>
            </w:r>
          </w:p>
        </w:tc>
        <w:tc>
          <w:tcPr>
            <w:tcW w:w="1249" w:type="dxa"/>
            <w:hideMark/>
          </w:tcPr>
          <w:p w14:paraId="0516C8F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4,21%</w:t>
            </w:r>
          </w:p>
        </w:tc>
        <w:tc>
          <w:tcPr>
            <w:tcW w:w="1178" w:type="dxa"/>
            <w:hideMark/>
          </w:tcPr>
          <w:p w14:paraId="562892E8"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4,12%</w:t>
            </w:r>
          </w:p>
        </w:tc>
        <w:tc>
          <w:tcPr>
            <w:tcW w:w="1093" w:type="dxa"/>
            <w:hideMark/>
          </w:tcPr>
          <w:p w14:paraId="6D98ACB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3,86%</w:t>
            </w:r>
          </w:p>
        </w:tc>
        <w:tc>
          <w:tcPr>
            <w:tcW w:w="990" w:type="dxa"/>
            <w:hideMark/>
          </w:tcPr>
          <w:p w14:paraId="1525D70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3,79%</w:t>
            </w:r>
          </w:p>
        </w:tc>
      </w:tr>
      <w:tr w:rsidR="00370974" w:rsidRPr="00370974" w14:paraId="22D6C7B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C3FB873"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Caesb</w:t>
            </w:r>
          </w:p>
        </w:tc>
        <w:tc>
          <w:tcPr>
            <w:tcW w:w="1248" w:type="dxa"/>
            <w:hideMark/>
          </w:tcPr>
          <w:p w14:paraId="0393C46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93,71%</w:t>
            </w:r>
          </w:p>
        </w:tc>
        <w:tc>
          <w:tcPr>
            <w:tcW w:w="1249" w:type="dxa"/>
            <w:hideMark/>
          </w:tcPr>
          <w:p w14:paraId="56E29F3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93,71%</w:t>
            </w:r>
          </w:p>
        </w:tc>
        <w:tc>
          <w:tcPr>
            <w:tcW w:w="1249" w:type="dxa"/>
            <w:hideMark/>
          </w:tcPr>
          <w:p w14:paraId="4F02441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81,97%</w:t>
            </w:r>
          </w:p>
        </w:tc>
        <w:tc>
          <w:tcPr>
            <w:tcW w:w="1178" w:type="dxa"/>
            <w:hideMark/>
          </w:tcPr>
          <w:p w14:paraId="24FA002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82,73%</w:t>
            </w:r>
          </w:p>
        </w:tc>
        <w:tc>
          <w:tcPr>
            <w:tcW w:w="1093" w:type="dxa"/>
            <w:hideMark/>
          </w:tcPr>
          <w:p w14:paraId="25E529B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82,11%</w:t>
            </w:r>
          </w:p>
        </w:tc>
        <w:tc>
          <w:tcPr>
            <w:tcW w:w="990" w:type="dxa"/>
            <w:hideMark/>
          </w:tcPr>
          <w:p w14:paraId="637F39B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84,51%</w:t>
            </w:r>
          </w:p>
        </w:tc>
      </w:tr>
      <w:tr w:rsidR="00370974" w:rsidRPr="00370974" w14:paraId="4E1DCB7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4B8E9A9"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Cagece</w:t>
            </w:r>
          </w:p>
        </w:tc>
        <w:tc>
          <w:tcPr>
            <w:tcW w:w="1248" w:type="dxa"/>
            <w:hideMark/>
          </w:tcPr>
          <w:p w14:paraId="64E8CFF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22,46%</w:t>
            </w:r>
          </w:p>
        </w:tc>
        <w:tc>
          <w:tcPr>
            <w:tcW w:w="1249" w:type="dxa"/>
            <w:hideMark/>
          </w:tcPr>
          <w:p w14:paraId="527FDD5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27,42%</w:t>
            </w:r>
          </w:p>
        </w:tc>
        <w:tc>
          <w:tcPr>
            <w:tcW w:w="1249" w:type="dxa"/>
            <w:hideMark/>
          </w:tcPr>
          <w:p w14:paraId="0E5B814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23,93%</w:t>
            </w:r>
          </w:p>
        </w:tc>
        <w:tc>
          <w:tcPr>
            <w:tcW w:w="1178" w:type="dxa"/>
            <w:hideMark/>
          </w:tcPr>
          <w:p w14:paraId="677AD0B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23,50%</w:t>
            </w:r>
          </w:p>
        </w:tc>
        <w:tc>
          <w:tcPr>
            <w:tcW w:w="1093" w:type="dxa"/>
            <w:hideMark/>
          </w:tcPr>
          <w:p w14:paraId="6DA4D89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22,81%</w:t>
            </w:r>
          </w:p>
        </w:tc>
        <w:tc>
          <w:tcPr>
            <w:tcW w:w="990" w:type="dxa"/>
            <w:hideMark/>
          </w:tcPr>
          <w:p w14:paraId="6816CF5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23,31%</w:t>
            </w:r>
          </w:p>
        </w:tc>
      </w:tr>
      <w:tr w:rsidR="00370974" w:rsidRPr="00370974" w14:paraId="21A0C9A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13ACA2"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lastRenderedPageBreak/>
              <w:t>Cagepa</w:t>
            </w:r>
          </w:p>
        </w:tc>
        <w:tc>
          <w:tcPr>
            <w:tcW w:w="1248" w:type="dxa"/>
            <w:hideMark/>
          </w:tcPr>
          <w:p w14:paraId="55D2AE3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19,57%</w:t>
            </w:r>
          </w:p>
        </w:tc>
        <w:tc>
          <w:tcPr>
            <w:tcW w:w="1249" w:type="dxa"/>
            <w:hideMark/>
          </w:tcPr>
          <w:p w14:paraId="0E72A5B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25,22%</w:t>
            </w:r>
          </w:p>
        </w:tc>
        <w:tc>
          <w:tcPr>
            <w:tcW w:w="1249" w:type="dxa"/>
            <w:hideMark/>
          </w:tcPr>
          <w:p w14:paraId="5F4C0B4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21,91%</w:t>
            </w:r>
          </w:p>
        </w:tc>
        <w:tc>
          <w:tcPr>
            <w:tcW w:w="1178" w:type="dxa"/>
            <w:hideMark/>
          </w:tcPr>
          <w:p w14:paraId="0358E28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21,45%</w:t>
            </w:r>
          </w:p>
        </w:tc>
        <w:tc>
          <w:tcPr>
            <w:tcW w:w="1093" w:type="dxa"/>
            <w:hideMark/>
          </w:tcPr>
          <w:p w14:paraId="03F64E8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28,91%</w:t>
            </w:r>
          </w:p>
        </w:tc>
        <w:tc>
          <w:tcPr>
            <w:tcW w:w="990" w:type="dxa"/>
            <w:hideMark/>
          </w:tcPr>
          <w:p w14:paraId="1B3028F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29,50%</w:t>
            </w:r>
          </w:p>
        </w:tc>
      </w:tr>
      <w:tr w:rsidR="00370974" w:rsidRPr="00370974" w14:paraId="0C2F172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065B6EF"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Casal</w:t>
            </w:r>
          </w:p>
        </w:tc>
        <w:tc>
          <w:tcPr>
            <w:tcW w:w="1248" w:type="dxa"/>
            <w:hideMark/>
          </w:tcPr>
          <w:p w14:paraId="4927B46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13,64%</w:t>
            </w:r>
          </w:p>
        </w:tc>
        <w:tc>
          <w:tcPr>
            <w:tcW w:w="1249" w:type="dxa"/>
            <w:hideMark/>
          </w:tcPr>
          <w:p w14:paraId="1341D65A"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14,07%</w:t>
            </w:r>
          </w:p>
        </w:tc>
        <w:tc>
          <w:tcPr>
            <w:tcW w:w="1249" w:type="dxa"/>
            <w:hideMark/>
          </w:tcPr>
          <w:p w14:paraId="5FC8EDD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15,44%</w:t>
            </w:r>
          </w:p>
        </w:tc>
        <w:tc>
          <w:tcPr>
            <w:tcW w:w="1178" w:type="dxa"/>
            <w:hideMark/>
          </w:tcPr>
          <w:p w14:paraId="3A5A602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14,97%</w:t>
            </w:r>
          </w:p>
        </w:tc>
        <w:tc>
          <w:tcPr>
            <w:tcW w:w="1093" w:type="dxa"/>
            <w:hideMark/>
          </w:tcPr>
          <w:p w14:paraId="382861D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15,12%</w:t>
            </w:r>
          </w:p>
        </w:tc>
        <w:tc>
          <w:tcPr>
            <w:tcW w:w="990" w:type="dxa"/>
            <w:hideMark/>
          </w:tcPr>
          <w:p w14:paraId="003F01A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14,45%</w:t>
            </w:r>
          </w:p>
        </w:tc>
      </w:tr>
      <w:tr w:rsidR="00370974" w:rsidRPr="00370974" w14:paraId="3B0E424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597B81E"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Casan</w:t>
            </w:r>
          </w:p>
        </w:tc>
        <w:tc>
          <w:tcPr>
            <w:tcW w:w="1248" w:type="dxa"/>
            <w:hideMark/>
          </w:tcPr>
          <w:p w14:paraId="287F184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11,64%</w:t>
            </w:r>
          </w:p>
        </w:tc>
        <w:tc>
          <w:tcPr>
            <w:tcW w:w="1249" w:type="dxa"/>
            <w:hideMark/>
          </w:tcPr>
          <w:p w14:paraId="2ED4228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14,21%</w:t>
            </w:r>
          </w:p>
        </w:tc>
        <w:tc>
          <w:tcPr>
            <w:tcW w:w="1249" w:type="dxa"/>
            <w:hideMark/>
          </w:tcPr>
          <w:p w14:paraId="1B3CB4B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13,63%</w:t>
            </w:r>
          </w:p>
        </w:tc>
        <w:tc>
          <w:tcPr>
            <w:tcW w:w="1178" w:type="dxa"/>
            <w:hideMark/>
          </w:tcPr>
          <w:p w14:paraId="02EC872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14,00%</w:t>
            </w:r>
          </w:p>
        </w:tc>
        <w:tc>
          <w:tcPr>
            <w:tcW w:w="1093" w:type="dxa"/>
            <w:hideMark/>
          </w:tcPr>
          <w:p w14:paraId="4709940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14,58%</w:t>
            </w:r>
          </w:p>
        </w:tc>
        <w:tc>
          <w:tcPr>
            <w:tcW w:w="990" w:type="dxa"/>
            <w:hideMark/>
          </w:tcPr>
          <w:p w14:paraId="55806E2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15,25%</w:t>
            </w:r>
          </w:p>
        </w:tc>
      </w:tr>
      <w:tr w:rsidR="00370974" w:rsidRPr="00370974" w14:paraId="672FAAD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D10960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Cedae</w:t>
            </w:r>
          </w:p>
        </w:tc>
        <w:tc>
          <w:tcPr>
            <w:tcW w:w="1248" w:type="dxa"/>
            <w:hideMark/>
          </w:tcPr>
          <w:p w14:paraId="705838E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50,82%</w:t>
            </w:r>
          </w:p>
        </w:tc>
        <w:tc>
          <w:tcPr>
            <w:tcW w:w="1249" w:type="dxa"/>
            <w:hideMark/>
          </w:tcPr>
          <w:p w14:paraId="038CA04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54,59%</w:t>
            </w:r>
          </w:p>
        </w:tc>
        <w:tc>
          <w:tcPr>
            <w:tcW w:w="1249" w:type="dxa"/>
            <w:hideMark/>
          </w:tcPr>
          <w:p w14:paraId="44EDCF6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48,31%</w:t>
            </w:r>
          </w:p>
        </w:tc>
        <w:tc>
          <w:tcPr>
            <w:tcW w:w="1178" w:type="dxa"/>
            <w:hideMark/>
          </w:tcPr>
          <w:p w14:paraId="7239CBA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48,64%</w:t>
            </w:r>
          </w:p>
        </w:tc>
        <w:tc>
          <w:tcPr>
            <w:tcW w:w="1093" w:type="dxa"/>
            <w:hideMark/>
          </w:tcPr>
          <w:p w14:paraId="2E46927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48,62%</w:t>
            </w:r>
          </w:p>
        </w:tc>
        <w:tc>
          <w:tcPr>
            <w:tcW w:w="990" w:type="dxa"/>
            <w:hideMark/>
          </w:tcPr>
          <w:p w14:paraId="646DE67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48,37%</w:t>
            </w:r>
          </w:p>
        </w:tc>
      </w:tr>
      <w:tr w:rsidR="00370974" w:rsidRPr="00370974" w14:paraId="032E2A4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AB9CFC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Cesan</w:t>
            </w:r>
          </w:p>
        </w:tc>
        <w:tc>
          <w:tcPr>
            <w:tcW w:w="1248" w:type="dxa"/>
            <w:hideMark/>
          </w:tcPr>
          <w:p w14:paraId="3563C3D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28,65%</w:t>
            </w:r>
          </w:p>
        </w:tc>
        <w:tc>
          <w:tcPr>
            <w:tcW w:w="1249" w:type="dxa"/>
            <w:hideMark/>
          </w:tcPr>
          <w:p w14:paraId="4F5C760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30,11%</w:t>
            </w:r>
          </w:p>
        </w:tc>
        <w:tc>
          <w:tcPr>
            <w:tcW w:w="1249" w:type="dxa"/>
            <w:hideMark/>
          </w:tcPr>
          <w:p w14:paraId="2927E3F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29,99%</w:t>
            </w:r>
          </w:p>
        </w:tc>
        <w:tc>
          <w:tcPr>
            <w:tcW w:w="1178" w:type="dxa"/>
            <w:hideMark/>
          </w:tcPr>
          <w:p w14:paraId="7A61989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31,24%</w:t>
            </w:r>
          </w:p>
        </w:tc>
        <w:tc>
          <w:tcPr>
            <w:tcW w:w="1093" w:type="dxa"/>
            <w:hideMark/>
          </w:tcPr>
          <w:p w14:paraId="0D284149"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33,21%</w:t>
            </w:r>
          </w:p>
        </w:tc>
        <w:tc>
          <w:tcPr>
            <w:tcW w:w="990" w:type="dxa"/>
            <w:hideMark/>
          </w:tcPr>
          <w:p w14:paraId="5C5D526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37,11%</w:t>
            </w:r>
          </w:p>
        </w:tc>
      </w:tr>
      <w:tr w:rsidR="00370974" w:rsidRPr="00370974" w14:paraId="3DCB320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D19CEBA"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Compesa</w:t>
            </w:r>
          </w:p>
        </w:tc>
        <w:tc>
          <w:tcPr>
            <w:tcW w:w="1248" w:type="dxa"/>
            <w:hideMark/>
          </w:tcPr>
          <w:p w14:paraId="021C67A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14,13%</w:t>
            </w:r>
          </w:p>
        </w:tc>
        <w:tc>
          <w:tcPr>
            <w:tcW w:w="1249" w:type="dxa"/>
            <w:hideMark/>
          </w:tcPr>
          <w:p w14:paraId="16C03C7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14,42%</w:t>
            </w:r>
          </w:p>
        </w:tc>
        <w:tc>
          <w:tcPr>
            <w:tcW w:w="1249" w:type="dxa"/>
            <w:hideMark/>
          </w:tcPr>
          <w:p w14:paraId="67DD7FA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14,99%</w:t>
            </w:r>
          </w:p>
        </w:tc>
        <w:tc>
          <w:tcPr>
            <w:tcW w:w="1178" w:type="dxa"/>
            <w:hideMark/>
          </w:tcPr>
          <w:p w14:paraId="3777C86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15,40%</w:t>
            </w:r>
          </w:p>
        </w:tc>
        <w:tc>
          <w:tcPr>
            <w:tcW w:w="1093" w:type="dxa"/>
            <w:hideMark/>
          </w:tcPr>
          <w:p w14:paraId="09509009"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16,46%</w:t>
            </w:r>
          </w:p>
        </w:tc>
        <w:tc>
          <w:tcPr>
            <w:tcW w:w="990" w:type="dxa"/>
            <w:hideMark/>
          </w:tcPr>
          <w:p w14:paraId="72B2509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17,29%</w:t>
            </w:r>
          </w:p>
        </w:tc>
      </w:tr>
      <w:tr w:rsidR="00370974" w:rsidRPr="00370974" w14:paraId="77A4A0E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74A5F8D"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Copasa</w:t>
            </w:r>
          </w:p>
        </w:tc>
        <w:tc>
          <w:tcPr>
            <w:tcW w:w="1248" w:type="dxa"/>
            <w:hideMark/>
          </w:tcPr>
          <w:p w14:paraId="3B40827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53,81%</w:t>
            </w:r>
          </w:p>
        </w:tc>
        <w:tc>
          <w:tcPr>
            <w:tcW w:w="1249" w:type="dxa"/>
            <w:hideMark/>
          </w:tcPr>
          <w:p w14:paraId="34DA95D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56,71%</w:t>
            </w:r>
          </w:p>
        </w:tc>
        <w:tc>
          <w:tcPr>
            <w:tcW w:w="1249" w:type="dxa"/>
            <w:hideMark/>
          </w:tcPr>
          <w:p w14:paraId="40B3BEF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58,52%</w:t>
            </w:r>
          </w:p>
        </w:tc>
        <w:tc>
          <w:tcPr>
            <w:tcW w:w="1178" w:type="dxa"/>
            <w:hideMark/>
          </w:tcPr>
          <w:p w14:paraId="4AB2ADE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60,57%</w:t>
            </w:r>
          </w:p>
        </w:tc>
        <w:tc>
          <w:tcPr>
            <w:tcW w:w="1093" w:type="dxa"/>
            <w:hideMark/>
          </w:tcPr>
          <w:p w14:paraId="43C54C8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62,17%</w:t>
            </w:r>
          </w:p>
        </w:tc>
        <w:tc>
          <w:tcPr>
            <w:tcW w:w="990" w:type="dxa"/>
            <w:hideMark/>
          </w:tcPr>
          <w:p w14:paraId="0315D54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52,05%</w:t>
            </w:r>
          </w:p>
        </w:tc>
      </w:tr>
      <w:tr w:rsidR="00370974" w:rsidRPr="00370974" w14:paraId="292A72E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1BE4F30"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Corsan</w:t>
            </w:r>
          </w:p>
        </w:tc>
        <w:tc>
          <w:tcPr>
            <w:tcW w:w="1248" w:type="dxa"/>
            <w:hideMark/>
          </w:tcPr>
          <w:p w14:paraId="7CF0998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8,58%</w:t>
            </w:r>
          </w:p>
        </w:tc>
        <w:tc>
          <w:tcPr>
            <w:tcW w:w="1249" w:type="dxa"/>
            <w:hideMark/>
          </w:tcPr>
          <w:p w14:paraId="353FFAD6"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8,48%</w:t>
            </w:r>
          </w:p>
        </w:tc>
        <w:tc>
          <w:tcPr>
            <w:tcW w:w="1249" w:type="dxa"/>
            <w:hideMark/>
          </w:tcPr>
          <w:p w14:paraId="7286C64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8,43%</w:t>
            </w:r>
          </w:p>
        </w:tc>
        <w:tc>
          <w:tcPr>
            <w:tcW w:w="1178" w:type="dxa"/>
            <w:hideMark/>
          </w:tcPr>
          <w:p w14:paraId="37713FC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8,86%</w:t>
            </w:r>
          </w:p>
        </w:tc>
        <w:tc>
          <w:tcPr>
            <w:tcW w:w="1093" w:type="dxa"/>
            <w:hideMark/>
          </w:tcPr>
          <w:p w14:paraId="0EA9635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9,29%</w:t>
            </w:r>
          </w:p>
        </w:tc>
        <w:tc>
          <w:tcPr>
            <w:tcW w:w="990" w:type="dxa"/>
            <w:hideMark/>
          </w:tcPr>
          <w:p w14:paraId="13546EC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9,95%</w:t>
            </w:r>
          </w:p>
        </w:tc>
      </w:tr>
      <w:tr w:rsidR="00370974" w:rsidRPr="00370974" w14:paraId="51DEC70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C87D57F"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Cosanpa</w:t>
            </w:r>
          </w:p>
        </w:tc>
        <w:tc>
          <w:tcPr>
            <w:tcW w:w="1248" w:type="dxa"/>
            <w:hideMark/>
          </w:tcPr>
          <w:p w14:paraId="62165C7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2,00%</w:t>
            </w:r>
          </w:p>
        </w:tc>
        <w:tc>
          <w:tcPr>
            <w:tcW w:w="1249" w:type="dxa"/>
            <w:hideMark/>
          </w:tcPr>
          <w:p w14:paraId="0EE59686"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1,77%</w:t>
            </w:r>
          </w:p>
        </w:tc>
        <w:tc>
          <w:tcPr>
            <w:tcW w:w="1249" w:type="dxa"/>
            <w:hideMark/>
          </w:tcPr>
          <w:p w14:paraId="18CC57F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1,82%</w:t>
            </w:r>
          </w:p>
        </w:tc>
        <w:tc>
          <w:tcPr>
            <w:tcW w:w="1178" w:type="dxa"/>
            <w:hideMark/>
          </w:tcPr>
          <w:p w14:paraId="72585F6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1,85%</w:t>
            </w:r>
          </w:p>
        </w:tc>
        <w:tc>
          <w:tcPr>
            <w:tcW w:w="1093" w:type="dxa"/>
            <w:hideMark/>
          </w:tcPr>
          <w:p w14:paraId="43519C4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3,40%</w:t>
            </w:r>
          </w:p>
        </w:tc>
        <w:tc>
          <w:tcPr>
            <w:tcW w:w="990" w:type="dxa"/>
            <w:hideMark/>
          </w:tcPr>
          <w:p w14:paraId="2CE46AB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3,41%</w:t>
            </w:r>
          </w:p>
        </w:tc>
      </w:tr>
      <w:tr w:rsidR="00370974" w:rsidRPr="00370974" w14:paraId="5882AD8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A86E5A8"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Depasa</w:t>
            </w:r>
          </w:p>
        </w:tc>
        <w:tc>
          <w:tcPr>
            <w:tcW w:w="1248" w:type="dxa"/>
            <w:hideMark/>
          </w:tcPr>
          <w:p w14:paraId="5425571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0,00%</w:t>
            </w:r>
          </w:p>
        </w:tc>
        <w:tc>
          <w:tcPr>
            <w:tcW w:w="1249" w:type="dxa"/>
            <w:hideMark/>
          </w:tcPr>
          <w:p w14:paraId="378BE1C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0,00%</w:t>
            </w:r>
          </w:p>
        </w:tc>
        <w:tc>
          <w:tcPr>
            <w:tcW w:w="1249" w:type="dxa"/>
            <w:hideMark/>
          </w:tcPr>
          <w:p w14:paraId="0C608A6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10,92%</w:t>
            </w:r>
          </w:p>
        </w:tc>
        <w:tc>
          <w:tcPr>
            <w:tcW w:w="1178" w:type="dxa"/>
            <w:hideMark/>
          </w:tcPr>
          <w:p w14:paraId="6EA92F8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9,28%</w:t>
            </w:r>
          </w:p>
        </w:tc>
        <w:tc>
          <w:tcPr>
            <w:tcW w:w="1093" w:type="dxa"/>
            <w:hideMark/>
          </w:tcPr>
          <w:p w14:paraId="6B9075A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9,78%</w:t>
            </w:r>
          </w:p>
        </w:tc>
        <w:tc>
          <w:tcPr>
            <w:tcW w:w="990" w:type="dxa"/>
            <w:hideMark/>
          </w:tcPr>
          <w:p w14:paraId="1FFD6E7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10,40%</w:t>
            </w:r>
          </w:p>
        </w:tc>
      </w:tr>
      <w:tr w:rsidR="00370974" w:rsidRPr="00370974" w14:paraId="4E68F0B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8472081"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Deso</w:t>
            </w:r>
          </w:p>
        </w:tc>
        <w:tc>
          <w:tcPr>
            <w:tcW w:w="1248" w:type="dxa"/>
            <w:hideMark/>
          </w:tcPr>
          <w:p w14:paraId="4BB6CB41"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12,82%</w:t>
            </w:r>
          </w:p>
        </w:tc>
        <w:tc>
          <w:tcPr>
            <w:tcW w:w="1249" w:type="dxa"/>
            <w:hideMark/>
          </w:tcPr>
          <w:p w14:paraId="3EA0670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13,34%</w:t>
            </w:r>
          </w:p>
        </w:tc>
        <w:tc>
          <w:tcPr>
            <w:tcW w:w="1249" w:type="dxa"/>
            <w:hideMark/>
          </w:tcPr>
          <w:p w14:paraId="2A9CB53C"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13,66%</w:t>
            </w:r>
          </w:p>
        </w:tc>
        <w:tc>
          <w:tcPr>
            <w:tcW w:w="1178" w:type="dxa"/>
            <w:hideMark/>
          </w:tcPr>
          <w:p w14:paraId="58E17BC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13,93%</w:t>
            </w:r>
          </w:p>
        </w:tc>
        <w:tc>
          <w:tcPr>
            <w:tcW w:w="1093" w:type="dxa"/>
            <w:hideMark/>
          </w:tcPr>
          <w:p w14:paraId="5D56C8A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14,91%</w:t>
            </w:r>
          </w:p>
        </w:tc>
        <w:tc>
          <w:tcPr>
            <w:tcW w:w="990" w:type="dxa"/>
            <w:hideMark/>
          </w:tcPr>
          <w:p w14:paraId="655D7BF2"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16,02%</w:t>
            </w:r>
          </w:p>
        </w:tc>
      </w:tr>
      <w:tr w:rsidR="00370974" w:rsidRPr="00370974" w14:paraId="66FE40C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AE79BB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Embasa</w:t>
            </w:r>
          </w:p>
        </w:tc>
        <w:tc>
          <w:tcPr>
            <w:tcW w:w="1248" w:type="dxa"/>
            <w:hideMark/>
          </w:tcPr>
          <w:p w14:paraId="124D58EE"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25,58%</w:t>
            </w:r>
          </w:p>
        </w:tc>
        <w:tc>
          <w:tcPr>
            <w:tcW w:w="1249" w:type="dxa"/>
            <w:hideMark/>
          </w:tcPr>
          <w:p w14:paraId="3C5964B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27,48%</w:t>
            </w:r>
          </w:p>
        </w:tc>
        <w:tc>
          <w:tcPr>
            <w:tcW w:w="1249" w:type="dxa"/>
            <w:hideMark/>
          </w:tcPr>
          <w:p w14:paraId="4C78F062"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29,50%</w:t>
            </w:r>
          </w:p>
        </w:tc>
        <w:tc>
          <w:tcPr>
            <w:tcW w:w="1178" w:type="dxa"/>
            <w:hideMark/>
          </w:tcPr>
          <w:p w14:paraId="56AAB2C5"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28,69%</w:t>
            </w:r>
          </w:p>
        </w:tc>
        <w:tc>
          <w:tcPr>
            <w:tcW w:w="1093" w:type="dxa"/>
            <w:hideMark/>
          </w:tcPr>
          <w:p w14:paraId="6D99213B"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30,31%</w:t>
            </w:r>
          </w:p>
        </w:tc>
        <w:tc>
          <w:tcPr>
            <w:tcW w:w="990" w:type="dxa"/>
            <w:hideMark/>
          </w:tcPr>
          <w:p w14:paraId="269CC35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31,98%</w:t>
            </w:r>
          </w:p>
        </w:tc>
      </w:tr>
      <w:tr w:rsidR="00370974" w:rsidRPr="00370974" w14:paraId="372ABEA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3074B1C"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Sabesp</w:t>
            </w:r>
          </w:p>
        </w:tc>
        <w:tc>
          <w:tcPr>
            <w:tcW w:w="1248" w:type="dxa"/>
            <w:hideMark/>
          </w:tcPr>
          <w:p w14:paraId="09D95BF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82,93%</w:t>
            </w:r>
          </w:p>
        </w:tc>
        <w:tc>
          <w:tcPr>
            <w:tcW w:w="1249" w:type="dxa"/>
            <w:hideMark/>
          </w:tcPr>
          <w:p w14:paraId="72A9268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83,92%</w:t>
            </w:r>
          </w:p>
        </w:tc>
        <w:tc>
          <w:tcPr>
            <w:tcW w:w="1249" w:type="dxa"/>
            <w:hideMark/>
          </w:tcPr>
          <w:p w14:paraId="5E382485"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84,51%</w:t>
            </w:r>
          </w:p>
        </w:tc>
        <w:tc>
          <w:tcPr>
            <w:tcW w:w="1178" w:type="dxa"/>
            <w:hideMark/>
          </w:tcPr>
          <w:p w14:paraId="2ADDD88F"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84,41%</w:t>
            </w:r>
          </w:p>
        </w:tc>
        <w:tc>
          <w:tcPr>
            <w:tcW w:w="1093" w:type="dxa"/>
            <w:hideMark/>
          </w:tcPr>
          <w:p w14:paraId="1BC9C26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85,39%</w:t>
            </w:r>
          </w:p>
        </w:tc>
        <w:tc>
          <w:tcPr>
            <w:tcW w:w="990" w:type="dxa"/>
            <w:hideMark/>
          </w:tcPr>
          <w:p w14:paraId="2634158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85,40%</w:t>
            </w:r>
          </w:p>
        </w:tc>
      </w:tr>
      <w:tr w:rsidR="00370974" w:rsidRPr="00370974" w14:paraId="763163B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DE0C1A4"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Saneago</w:t>
            </w:r>
          </w:p>
        </w:tc>
        <w:tc>
          <w:tcPr>
            <w:tcW w:w="1248" w:type="dxa"/>
            <w:hideMark/>
          </w:tcPr>
          <w:p w14:paraId="32719A87"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36,37%</w:t>
            </w:r>
          </w:p>
        </w:tc>
        <w:tc>
          <w:tcPr>
            <w:tcW w:w="1249" w:type="dxa"/>
            <w:hideMark/>
          </w:tcPr>
          <w:p w14:paraId="4B4200E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37,99%</w:t>
            </w:r>
          </w:p>
        </w:tc>
        <w:tc>
          <w:tcPr>
            <w:tcW w:w="1249" w:type="dxa"/>
            <w:hideMark/>
          </w:tcPr>
          <w:p w14:paraId="3E28E81F"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40,38%</w:t>
            </w:r>
          </w:p>
        </w:tc>
        <w:tc>
          <w:tcPr>
            <w:tcW w:w="1178" w:type="dxa"/>
            <w:hideMark/>
          </w:tcPr>
          <w:p w14:paraId="425DB71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41,61%</w:t>
            </w:r>
          </w:p>
        </w:tc>
        <w:tc>
          <w:tcPr>
            <w:tcW w:w="1093" w:type="dxa"/>
            <w:hideMark/>
          </w:tcPr>
          <w:p w14:paraId="2044DDCC"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45,13%</w:t>
            </w:r>
          </w:p>
        </w:tc>
        <w:tc>
          <w:tcPr>
            <w:tcW w:w="990" w:type="dxa"/>
            <w:hideMark/>
          </w:tcPr>
          <w:p w14:paraId="0CFD8DB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48,13%</w:t>
            </w:r>
          </w:p>
        </w:tc>
      </w:tr>
      <w:tr w:rsidR="00370974" w:rsidRPr="00370974" w14:paraId="564F2E5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FCB47F5"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val="es-CO" w:eastAsia="es-CO"/>
              </w:rPr>
              <w:t>Saneatins</w:t>
            </w:r>
          </w:p>
        </w:tc>
        <w:tc>
          <w:tcPr>
            <w:tcW w:w="1248" w:type="dxa"/>
            <w:hideMark/>
          </w:tcPr>
          <w:p w14:paraId="1494722D"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13,38%</w:t>
            </w:r>
          </w:p>
        </w:tc>
        <w:tc>
          <w:tcPr>
            <w:tcW w:w="1249" w:type="dxa"/>
            <w:hideMark/>
          </w:tcPr>
          <w:p w14:paraId="1DECD89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13,37%</w:t>
            </w:r>
          </w:p>
        </w:tc>
        <w:tc>
          <w:tcPr>
            <w:tcW w:w="1249" w:type="dxa"/>
            <w:hideMark/>
          </w:tcPr>
          <w:p w14:paraId="223E64E3"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15,71%</w:t>
            </w:r>
          </w:p>
        </w:tc>
        <w:tc>
          <w:tcPr>
            <w:tcW w:w="1178" w:type="dxa"/>
            <w:hideMark/>
          </w:tcPr>
          <w:p w14:paraId="4EB1233E"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18,25%</w:t>
            </w:r>
          </w:p>
        </w:tc>
        <w:tc>
          <w:tcPr>
            <w:tcW w:w="1093" w:type="dxa"/>
            <w:hideMark/>
          </w:tcPr>
          <w:p w14:paraId="7CA1E600"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21,92%</w:t>
            </w:r>
          </w:p>
        </w:tc>
        <w:tc>
          <w:tcPr>
            <w:tcW w:w="990" w:type="dxa"/>
            <w:hideMark/>
          </w:tcPr>
          <w:p w14:paraId="6A017E17"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val="es-CO" w:eastAsia="es-CO"/>
              </w:rPr>
              <w:t>27,10%</w:t>
            </w:r>
          </w:p>
        </w:tc>
      </w:tr>
      <w:tr w:rsidR="00370974" w:rsidRPr="00370974" w14:paraId="1A3F3A2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6B2A93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Sanepar</w:t>
            </w:r>
          </w:p>
        </w:tc>
        <w:tc>
          <w:tcPr>
            <w:tcW w:w="1248" w:type="dxa"/>
            <w:hideMark/>
          </w:tcPr>
          <w:p w14:paraId="7F124704"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52,87%</w:t>
            </w:r>
          </w:p>
        </w:tc>
        <w:tc>
          <w:tcPr>
            <w:tcW w:w="1249" w:type="dxa"/>
            <w:hideMark/>
          </w:tcPr>
          <w:p w14:paraId="7B3B72D0"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55,83%</w:t>
            </w:r>
          </w:p>
        </w:tc>
        <w:tc>
          <w:tcPr>
            <w:tcW w:w="1249" w:type="dxa"/>
            <w:hideMark/>
          </w:tcPr>
          <w:p w14:paraId="32B09A4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59,35%</w:t>
            </w:r>
          </w:p>
        </w:tc>
        <w:tc>
          <w:tcPr>
            <w:tcW w:w="1178" w:type="dxa"/>
            <w:hideMark/>
          </w:tcPr>
          <w:p w14:paraId="3C1ACA31"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61,06%</w:t>
            </w:r>
          </w:p>
        </w:tc>
        <w:tc>
          <w:tcPr>
            <w:tcW w:w="1093" w:type="dxa"/>
            <w:hideMark/>
          </w:tcPr>
          <w:p w14:paraId="6ACB8913"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61,03%</w:t>
            </w:r>
          </w:p>
        </w:tc>
        <w:tc>
          <w:tcPr>
            <w:tcW w:w="990" w:type="dxa"/>
            <w:hideMark/>
          </w:tcPr>
          <w:p w14:paraId="1D567E7D" w14:textId="77777777" w:rsidR="00370974" w:rsidRPr="00370974" w:rsidRDefault="00370974" w:rsidP="00370974">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370974">
              <w:rPr>
                <w:color w:val="000000"/>
                <w:sz w:val="22"/>
                <w:lang w:eastAsia="es-CO"/>
              </w:rPr>
              <w:t>66,28%</w:t>
            </w:r>
          </w:p>
        </w:tc>
      </w:tr>
      <w:tr w:rsidR="00370974" w:rsidRPr="00370974" w14:paraId="4DBF44E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6A5F116" w14:textId="77777777" w:rsidR="00370974" w:rsidRPr="00370974" w:rsidRDefault="00370974" w:rsidP="00370974">
            <w:pPr>
              <w:spacing w:before="0" w:beforeAutospacing="0" w:after="0" w:afterAutospacing="0" w:line="240" w:lineRule="auto"/>
              <w:ind w:firstLine="0"/>
              <w:jc w:val="left"/>
              <w:rPr>
                <w:color w:val="000000"/>
                <w:sz w:val="22"/>
                <w:lang w:val="es-CO" w:eastAsia="es-CO"/>
              </w:rPr>
            </w:pPr>
            <w:r w:rsidRPr="00370974">
              <w:rPr>
                <w:color w:val="000000"/>
                <w:sz w:val="22"/>
                <w:lang w:eastAsia="es-CO"/>
              </w:rPr>
              <w:t>Sanesul</w:t>
            </w:r>
          </w:p>
        </w:tc>
        <w:tc>
          <w:tcPr>
            <w:tcW w:w="1248" w:type="dxa"/>
            <w:hideMark/>
          </w:tcPr>
          <w:p w14:paraId="271E9E74"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10,34%</w:t>
            </w:r>
          </w:p>
        </w:tc>
        <w:tc>
          <w:tcPr>
            <w:tcW w:w="1249" w:type="dxa"/>
            <w:hideMark/>
          </w:tcPr>
          <w:p w14:paraId="5CB18A3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14,13%</w:t>
            </w:r>
          </w:p>
        </w:tc>
        <w:tc>
          <w:tcPr>
            <w:tcW w:w="1249" w:type="dxa"/>
            <w:hideMark/>
          </w:tcPr>
          <w:p w14:paraId="2210B4D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15,91%</w:t>
            </w:r>
          </w:p>
        </w:tc>
        <w:tc>
          <w:tcPr>
            <w:tcW w:w="1178" w:type="dxa"/>
            <w:hideMark/>
          </w:tcPr>
          <w:p w14:paraId="75F6EA9B"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18,87%</w:t>
            </w:r>
          </w:p>
        </w:tc>
        <w:tc>
          <w:tcPr>
            <w:tcW w:w="1093" w:type="dxa"/>
            <w:hideMark/>
          </w:tcPr>
          <w:p w14:paraId="1C932D3A"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23,14%</w:t>
            </w:r>
          </w:p>
        </w:tc>
        <w:tc>
          <w:tcPr>
            <w:tcW w:w="990" w:type="dxa"/>
            <w:hideMark/>
          </w:tcPr>
          <w:p w14:paraId="553AD9B8" w14:textId="77777777" w:rsidR="00370974" w:rsidRPr="00370974" w:rsidRDefault="00370974" w:rsidP="00370974">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370974">
              <w:rPr>
                <w:color w:val="000000"/>
                <w:sz w:val="22"/>
                <w:lang w:eastAsia="es-CO"/>
              </w:rPr>
              <w:t>25,70%</w:t>
            </w:r>
          </w:p>
        </w:tc>
      </w:tr>
    </w:tbl>
    <w:p w14:paraId="45A38091" w14:textId="112E3BAD" w:rsidR="00146208" w:rsidRPr="00042F25" w:rsidRDefault="00117BE1" w:rsidP="00117BE1">
      <w:pPr>
        <w:pStyle w:val="Descripcin"/>
        <w:spacing w:before="0" w:beforeAutospacing="0"/>
        <w:jc w:val="left"/>
        <w:rPr>
          <w:sz w:val="20"/>
        </w:rPr>
      </w:pPr>
      <w:r w:rsidRPr="00042F25">
        <w:rPr>
          <w:sz w:val="20"/>
        </w:rPr>
        <w:t>Fonte: SNIS 2015. Elaborado por: GO Associados</w:t>
      </w:r>
    </w:p>
    <w:p w14:paraId="35B4220E" w14:textId="77777777" w:rsidR="00117BE1" w:rsidRPr="00042F25" w:rsidRDefault="00117BE1" w:rsidP="00117BE1"/>
    <w:p w14:paraId="0A7324D0" w14:textId="433F26EC" w:rsidR="00C8337E" w:rsidRPr="00042F25" w:rsidRDefault="00146208" w:rsidP="00245A0A">
      <w:pPr>
        <w:pStyle w:val="Ttulo1"/>
      </w:pPr>
      <w:bookmarkStart w:id="27" w:name="_Toc493094927"/>
      <w:r w:rsidRPr="00042F25">
        <w:lastRenderedPageBreak/>
        <w:t>Eficiência Operacional</w:t>
      </w:r>
      <w:bookmarkEnd w:id="27"/>
    </w:p>
    <w:p w14:paraId="5CDFDB90" w14:textId="4D3293B2" w:rsidR="00C8337E" w:rsidRPr="00042F25" w:rsidRDefault="00C8337E" w:rsidP="00734F2F">
      <w:r w:rsidRPr="00042F25">
        <w:t xml:space="preserve">O objetivo desta Seção é </w:t>
      </w:r>
      <w:r w:rsidR="0089630E" w:rsidRPr="00042F25">
        <w:t>mostrar</w:t>
      </w:r>
      <w:r w:rsidR="000C6A13" w:rsidRPr="00042F25">
        <w:t xml:space="preserve"> os índices de eficiência operacional</w:t>
      </w:r>
      <w:r w:rsidR="00734F2F" w:rsidRPr="00042F25">
        <w:t xml:space="preserve">. A </w:t>
      </w:r>
      <w:r w:rsidR="00042F25">
        <w:t>subseção</w:t>
      </w:r>
      <w:r w:rsidR="00734F2F" w:rsidRPr="00042F25">
        <w:t xml:space="preserve"> 5.1 </w:t>
      </w:r>
      <w:r w:rsidR="0089630E" w:rsidRPr="00042F25">
        <w:t>analisa</w:t>
      </w:r>
      <w:r w:rsidR="00734F2F" w:rsidRPr="00042F25">
        <w:t xml:space="preserve"> o</w:t>
      </w:r>
      <w:r w:rsidR="007E4835" w:rsidRPr="00042F25">
        <w:t>s</w:t>
      </w:r>
      <w:r w:rsidR="0089630E" w:rsidRPr="00042F25">
        <w:t xml:space="preserve"> índice</w:t>
      </w:r>
      <w:r w:rsidR="007E4835" w:rsidRPr="00042F25">
        <w:t>s</w:t>
      </w:r>
      <w:r w:rsidR="0089630E" w:rsidRPr="00042F25">
        <w:t xml:space="preserve"> de produtividade das economias ativas</w:t>
      </w:r>
      <w:r w:rsidR="007E4835" w:rsidRPr="00042F25">
        <w:t xml:space="preserve"> tanto</w:t>
      </w:r>
      <w:r w:rsidR="0089630E" w:rsidRPr="00042F25">
        <w:t xml:space="preserve"> por pessoal próprio (IN002)</w:t>
      </w:r>
      <w:r w:rsidR="007E4835" w:rsidRPr="00042F25">
        <w:t xml:space="preserve"> quanto por pessoal total (IN019)</w:t>
      </w:r>
      <w:r w:rsidR="0089630E" w:rsidRPr="00042F25">
        <w:t>,</w:t>
      </w:r>
      <w:r w:rsidR="007E4835" w:rsidRPr="00042F25">
        <w:t xml:space="preserve"> a </w:t>
      </w:r>
      <w:r w:rsidR="00042F25">
        <w:t>subseção</w:t>
      </w:r>
      <w:r w:rsidR="007E4835" w:rsidRPr="00042F25">
        <w:t xml:space="preserve"> 5.2 </w:t>
      </w:r>
      <w:r w:rsidR="008708FA" w:rsidRPr="00042F25">
        <w:t>explora</w:t>
      </w:r>
      <w:r w:rsidR="002C3930" w:rsidRPr="00042F25">
        <w:t xml:space="preserve"> </w:t>
      </w:r>
      <w:r w:rsidR="0089630E" w:rsidRPr="00042F25">
        <w:t>o índice de despesas de exploração por m</w:t>
      </w:r>
      <w:r w:rsidR="0089630E" w:rsidRPr="00042F25">
        <w:rPr>
          <w:vertAlign w:val="superscript"/>
        </w:rPr>
        <w:t>3</w:t>
      </w:r>
      <w:r w:rsidR="007E4835" w:rsidRPr="00042F25">
        <w:t xml:space="preserve"> faturado (IN026) e a </w:t>
      </w:r>
      <w:r w:rsidR="00042F25">
        <w:t>subseção</w:t>
      </w:r>
      <w:r w:rsidR="007E4835" w:rsidRPr="00042F25">
        <w:t xml:space="preserve"> 5.3</w:t>
      </w:r>
      <w:r w:rsidR="0089630E" w:rsidRPr="00042F25">
        <w:t xml:space="preserve"> </w:t>
      </w:r>
      <w:r w:rsidR="009679B4" w:rsidRPr="00042F25">
        <w:t>examina</w:t>
      </w:r>
      <w:r w:rsidR="0089630E" w:rsidRPr="00042F25">
        <w:t xml:space="preserve"> </w:t>
      </w:r>
      <w:r w:rsidR="007E4835" w:rsidRPr="00042F25">
        <w:t>os índices de perdas no faturamento (IN013),</w:t>
      </w:r>
      <w:r w:rsidR="0089630E" w:rsidRPr="00042F25">
        <w:t xml:space="preserve"> </w:t>
      </w:r>
      <w:r w:rsidR="00716C83" w:rsidRPr="00042F25">
        <w:t>na distribuição (IN049)</w:t>
      </w:r>
      <w:r w:rsidR="007E4835" w:rsidRPr="00042F25">
        <w:t xml:space="preserve"> e </w:t>
      </w:r>
      <w:r w:rsidR="0089630E" w:rsidRPr="00042F25">
        <w:t>por ligação (IN051).</w:t>
      </w:r>
    </w:p>
    <w:p w14:paraId="2F28771C" w14:textId="039E7A22" w:rsidR="00F9654C" w:rsidRPr="00042F25" w:rsidRDefault="00F9654C" w:rsidP="00734F2F">
      <w:r w:rsidRPr="00042F25">
        <w:t xml:space="preserve">Em 2015 ao resumir os </w:t>
      </w:r>
      <w:r w:rsidR="00DD6117" w:rsidRPr="00042F25">
        <w:t>dados dos índices de eficiência operacional</w:t>
      </w:r>
      <w:r w:rsidRPr="00042F25">
        <w:t xml:space="preserve"> </w:t>
      </w:r>
      <w:r w:rsidR="00A93A3C">
        <w:t>com a classificação</w:t>
      </w:r>
      <w:r w:rsidRPr="00042F25">
        <w:t xml:space="preserve"> de acordo com os valores apresentados, é possível observar qu</w:t>
      </w:r>
      <w:r w:rsidR="00D11793" w:rsidRPr="00042F25">
        <w:t>e C</w:t>
      </w:r>
      <w:r w:rsidR="00165EF5">
        <w:t>OPASA</w:t>
      </w:r>
      <w:r w:rsidR="00D11793" w:rsidRPr="00042F25">
        <w:t>, S</w:t>
      </w:r>
      <w:r w:rsidR="00165EF5">
        <w:t>ABESP</w:t>
      </w:r>
      <w:r w:rsidR="00D11793" w:rsidRPr="00042F25">
        <w:t xml:space="preserve"> e </w:t>
      </w:r>
      <w:r w:rsidR="00165EF5">
        <w:t>SANEPAR</w:t>
      </w:r>
      <w:r w:rsidR="00D11793" w:rsidRPr="00042F25">
        <w:t xml:space="preserve"> são a</w:t>
      </w:r>
      <w:r w:rsidRPr="00042F25">
        <w:t>s melhore</w:t>
      </w:r>
      <w:r w:rsidR="00D11793" w:rsidRPr="00042F25">
        <w:t xml:space="preserve">s </w:t>
      </w:r>
      <w:r w:rsidR="00A93A3C">
        <w:t>classificadas</w:t>
      </w:r>
      <w:r w:rsidR="00A93A3C" w:rsidRPr="00042F25">
        <w:t xml:space="preserve"> </w:t>
      </w:r>
      <w:r w:rsidRPr="00042F25">
        <w:t>em todos os requisit</w:t>
      </w:r>
      <w:r w:rsidR="00D11793" w:rsidRPr="00042F25">
        <w:t>os e C</w:t>
      </w:r>
      <w:r w:rsidR="00165EF5">
        <w:t>AEMA</w:t>
      </w:r>
      <w:r w:rsidR="00D11793" w:rsidRPr="00042F25">
        <w:t>, C</w:t>
      </w:r>
      <w:r w:rsidR="00165EF5">
        <w:t>AERD</w:t>
      </w:r>
      <w:r w:rsidR="00D11793" w:rsidRPr="00042F25">
        <w:t xml:space="preserve"> e </w:t>
      </w:r>
      <w:r w:rsidR="00165EF5">
        <w:t>CAER</w:t>
      </w:r>
      <w:r w:rsidR="00165EF5" w:rsidRPr="00042F25">
        <w:t xml:space="preserve"> </w:t>
      </w:r>
      <w:r w:rsidR="00D11793" w:rsidRPr="00042F25">
        <w:t>são as pio</w:t>
      </w:r>
      <w:r w:rsidRPr="00042F25">
        <w:t>res.</w:t>
      </w:r>
    </w:p>
    <w:p w14:paraId="4CA58C08" w14:textId="1AC96C4D" w:rsidR="00F255E9" w:rsidRDefault="00C90E47" w:rsidP="00272793">
      <w:pPr>
        <w:pStyle w:val="Descripcin"/>
      </w:pPr>
      <w:bookmarkStart w:id="28" w:name="_Toc493222479"/>
      <w:r w:rsidRPr="00042F25">
        <w:t xml:space="preserve">Quadro </w:t>
      </w:r>
      <w:fldSimple w:instr=" SEQ Quadro \* ARABIC ">
        <w:r w:rsidR="00B64D1C" w:rsidRPr="00042F25">
          <w:rPr>
            <w:noProof/>
          </w:rPr>
          <w:t>16</w:t>
        </w:r>
      </w:fldSimple>
      <w:r w:rsidRPr="00042F25">
        <w:t xml:space="preserve"> – Ranking Índices de Eficiência Operacional 2015</w:t>
      </w:r>
      <w:bookmarkEnd w:id="28"/>
    </w:p>
    <w:tbl>
      <w:tblPr>
        <w:tblW w:w="8680" w:type="dxa"/>
        <w:jc w:val="center"/>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tblGrid>
      <w:tr w:rsidR="00165EF5" w:rsidRPr="00165EF5" w14:paraId="6300A331" w14:textId="77777777" w:rsidTr="00EA348F">
        <w:trPr>
          <w:trHeight w:val="312"/>
          <w:jc w:val="center"/>
        </w:trPr>
        <w:tc>
          <w:tcPr>
            <w:tcW w:w="1240" w:type="dxa"/>
            <w:vMerge w:val="restart"/>
            <w:tcBorders>
              <w:top w:val="single" w:sz="8" w:space="0" w:color="549E39"/>
              <w:left w:val="single" w:sz="8" w:space="0" w:color="549E39"/>
              <w:bottom w:val="single" w:sz="8" w:space="0" w:color="549E39"/>
              <w:right w:val="nil"/>
            </w:tcBorders>
            <w:shd w:val="clear" w:color="000000" w:fill="549E39"/>
            <w:vAlign w:val="center"/>
            <w:hideMark/>
          </w:tcPr>
          <w:p w14:paraId="6D56D019"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Empresa</w:t>
            </w:r>
          </w:p>
        </w:tc>
        <w:tc>
          <w:tcPr>
            <w:tcW w:w="1240" w:type="dxa"/>
            <w:tcBorders>
              <w:top w:val="single" w:sz="8" w:space="0" w:color="549E39"/>
              <w:left w:val="nil"/>
              <w:bottom w:val="nil"/>
              <w:right w:val="nil"/>
            </w:tcBorders>
            <w:shd w:val="clear" w:color="000000" w:fill="549E39"/>
            <w:vAlign w:val="center"/>
            <w:hideMark/>
          </w:tcPr>
          <w:p w14:paraId="367A33A3"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IN002</w:t>
            </w:r>
          </w:p>
        </w:tc>
        <w:tc>
          <w:tcPr>
            <w:tcW w:w="1240" w:type="dxa"/>
            <w:tcBorders>
              <w:top w:val="single" w:sz="8" w:space="0" w:color="549E39"/>
              <w:left w:val="nil"/>
              <w:bottom w:val="nil"/>
              <w:right w:val="nil"/>
            </w:tcBorders>
            <w:shd w:val="clear" w:color="000000" w:fill="549E39"/>
            <w:vAlign w:val="center"/>
            <w:hideMark/>
          </w:tcPr>
          <w:p w14:paraId="091BC511"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IN019</w:t>
            </w:r>
          </w:p>
        </w:tc>
        <w:tc>
          <w:tcPr>
            <w:tcW w:w="1240" w:type="dxa"/>
            <w:tcBorders>
              <w:top w:val="single" w:sz="8" w:space="0" w:color="549E39"/>
              <w:left w:val="nil"/>
              <w:bottom w:val="nil"/>
              <w:right w:val="nil"/>
            </w:tcBorders>
            <w:shd w:val="clear" w:color="000000" w:fill="549E39"/>
            <w:vAlign w:val="center"/>
            <w:hideMark/>
          </w:tcPr>
          <w:p w14:paraId="0963D048"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IN026</w:t>
            </w:r>
          </w:p>
        </w:tc>
        <w:tc>
          <w:tcPr>
            <w:tcW w:w="1240" w:type="dxa"/>
            <w:tcBorders>
              <w:top w:val="single" w:sz="8" w:space="0" w:color="549E39"/>
              <w:left w:val="nil"/>
              <w:bottom w:val="nil"/>
              <w:right w:val="nil"/>
            </w:tcBorders>
            <w:shd w:val="clear" w:color="000000" w:fill="549E39"/>
            <w:vAlign w:val="center"/>
            <w:hideMark/>
          </w:tcPr>
          <w:p w14:paraId="553A08FC"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IN013</w:t>
            </w:r>
          </w:p>
        </w:tc>
        <w:tc>
          <w:tcPr>
            <w:tcW w:w="1240" w:type="dxa"/>
            <w:tcBorders>
              <w:top w:val="single" w:sz="8" w:space="0" w:color="549E39"/>
              <w:left w:val="nil"/>
              <w:bottom w:val="nil"/>
              <w:right w:val="nil"/>
            </w:tcBorders>
            <w:shd w:val="clear" w:color="000000" w:fill="549E39"/>
            <w:vAlign w:val="center"/>
            <w:hideMark/>
          </w:tcPr>
          <w:p w14:paraId="2E77998B"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IN049</w:t>
            </w:r>
          </w:p>
        </w:tc>
        <w:tc>
          <w:tcPr>
            <w:tcW w:w="1240" w:type="dxa"/>
            <w:tcBorders>
              <w:top w:val="single" w:sz="8" w:space="0" w:color="549E39"/>
              <w:left w:val="nil"/>
              <w:bottom w:val="nil"/>
              <w:right w:val="single" w:sz="8" w:space="0" w:color="549E39"/>
            </w:tcBorders>
            <w:shd w:val="clear" w:color="000000" w:fill="549E39"/>
            <w:vAlign w:val="center"/>
            <w:hideMark/>
          </w:tcPr>
          <w:p w14:paraId="3D4A35D9"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IN051</w:t>
            </w:r>
          </w:p>
        </w:tc>
      </w:tr>
      <w:tr w:rsidR="00165EF5" w:rsidRPr="00165EF5" w14:paraId="0802802C" w14:textId="77777777" w:rsidTr="00EA348F">
        <w:trPr>
          <w:trHeight w:val="1140"/>
          <w:jc w:val="center"/>
        </w:trPr>
        <w:tc>
          <w:tcPr>
            <w:tcW w:w="1240" w:type="dxa"/>
            <w:vMerge/>
            <w:tcBorders>
              <w:top w:val="single" w:sz="8" w:space="0" w:color="549E39"/>
              <w:left w:val="single" w:sz="8" w:space="0" w:color="549E39"/>
              <w:bottom w:val="single" w:sz="8" w:space="0" w:color="549E39"/>
              <w:right w:val="nil"/>
            </w:tcBorders>
            <w:vAlign w:val="center"/>
            <w:hideMark/>
          </w:tcPr>
          <w:p w14:paraId="2A817514" w14:textId="77777777" w:rsidR="00165EF5" w:rsidRPr="00EA348F" w:rsidRDefault="00165EF5" w:rsidP="00165EF5">
            <w:pPr>
              <w:spacing w:before="0" w:beforeAutospacing="0" w:after="0" w:afterAutospacing="0" w:line="240" w:lineRule="auto"/>
              <w:ind w:firstLine="0"/>
              <w:jc w:val="left"/>
              <w:rPr>
                <w:b/>
                <w:bCs/>
                <w:color w:val="FFFFFF"/>
                <w:sz w:val="22"/>
                <w:lang w:eastAsia="es-CO"/>
              </w:rPr>
            </w:pPr>
          </w:p>
        </w:tc>
        <w:tc>
          <w:tcPr>
            <w:tcW w:w="1240" w:type="dxa"/>
            <w:tcBorders>
              <w:top w:val="nil"/>
              <w:left w:val="nil"/>
              <w:bottom w:val="single" w:sz="8" w:space="0" w:color="549E39"/>
              <w:right w:val="nil"/>
            </w:tcBorders>
            <w:shd w:val="clear" w:color="000000" w:fill="549E39"/>
            <w:vAlign w:val="center"/>
            <w:hideMark/>
          </w:tcPr>
          <w:p w14:paraId="437557C8"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Produt. econ. ativas por pessoal próprio</w:t>
            </w:r>
          </w:p>
        </w:tc>
        <w:tc>
          <w:tcPr>
            <w:tcW w:w="1240" w:type="dxa"/>
            <w:tcBorders>
              <w:top w:val="nil"/>
              <w:left w:val="nil"/>
              <w:bottom w:val="single" w:sz="8" w:space="0" w:color="549E39"/>
              <w:right w:val="nil"/>
            </w:tcBorders>
            <w:shd w:val="clear" w:color="000000" w:fill="549E39"/>
            <w:vAlign w:val="center"/>
            <w:hideMark/>
          </w:tcPr>
          <w:p w14:paraId="07B5737E"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Produt. econ. ativas por pessoal total</w:t>
            </w:r>
          </w:p>
        </w:tc>
        <w:tc>
          <w:tcPr>
            <w:tcW w:w="1240" w:type="dxa"/>
            <w:tcBorders>
              <w:top w:val="nil"/>
              <w:left w:val="nil"/>
              <w:bottom w:val="single" w:sz="8" w:space="0" w:color="549E39"/>
              <w:right w:val="nil"/>
            </w:tcBorders>
            <w:shd w:val="clear" w:color="000000" w:fill="549E39"/>
            <w:vAlign w:val="center"/>
            <w:hideMark/>
          </w:tcPr>
          <w:p w14:paraId="571C6876"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Despesas de exploração por m3 faturado</w:t>
            </w:r>
          </w:p>
        </w:tc>
        <w:tc>
          <w:tcPr>
            <w:tcW w:w="1240" w:type="dxa"/>
            <w:tcBorders>
              <w:top w:val="nil"/>
              <w:left w:val="nil"/>
              <w:bottom w:val="single" w:sz="8" w:space="0" w:color="549E39"/>
              <w:right w:val="nil"/>
            </w:tcBorders>
            <w:shd w:val="clear" w:color="000000" w:fill="549E39"/>
            <w:vAlign w:val="center"/>
            <w:hideMark/>
          </w:tcPr>
          <w:p w14:paraId="77E05FD7"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Perdas no faturam.</w:t>
            </w:r>
          </w:p>
        </w:tc>
        <w:tc>
          <w:tcPr>
            <w:tcW w:w="1240" w:type="dxa"/>
            <w:tcBorders>
              <w:top w:val="nil"/>
              <w:left w:val="nil"/>
              <w:bottom w:val="single" w:sz="8" w:space="0" w:color="549E39"/>
              <w:right w:val="nil"/>
            </w:tcBorders>
            <w:shd w:val="clear" w:color="000000" w:fill="549E39"/>
            <w:vAlign w:val="center"/>
            <w:hideMark/>
          </w:tcPr>
          <w:p w14:paraId="75C9A74D"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Perdas na distrib.</w:t>
            </w:r>
          </w:p>
        </w:tc>
        <w:tc>
          <w:tcPr>
            <w:tcW w:w="1240" w:type="dxa"/>
            <w:tcBorders>
              <w:top w:val="nil"/>
              <w:left w:val="nil"/>
              <w:bottom w:val="single" w:sz="8" w:space="0" w:color="549E39"/>
              <w:right w:val="single" w:sz="8" w:space="0" w:color="549E39"/>
            </w:tcBorders>
            <w:shd w:val="clear" w:color="000000" w:fill="549E39"/>
            <w:vAlign w:val="center"/>
            <w:hideMark/>
          </w:tcPr>
          <w:p w14:paraId="542419E6" w14:textId="77777777" w:rsidR="00165EF5" w:rsidRPr="00EA348F" w:rsidRDefault="00165EF5" w:rsidP="00165EF5">
            <w:pPr>
              <w:spacing w:before="0" w:beforeAutospacing="0" w:after="0" w:afterAutospacing="0" w:line="240" w:lineRule="auto"/>
              <w:ind w:firstLine="0"/>
              <w:jc w:val="center"/>
              <w:rPr>
                <w:b/>
                <w:bCs/>
                <w:color w:val="FFFFFF"/>
                <w:sz w:val="22"/>
                <w:lang w:eastAsia="es-CO"/>
              </w:rPr>
            </w:pPr>
            <w:r w:rsidRPr="00272793">
              <w:rPr>
                <w:b/>
                <w:bCs/>
                <w:color w:val="FFFFFF"/>
                <w:sz w:val="22"/>
                <w:lang w:eastAsia="es-CO"/>
              </w:rPr>
              <w:t>Perdas por ligação</w:t>
            </w:r>
          </w:p>
        </w:tc>
      </w:tr>
      <w:tr w:rsidR="00165EF5" w:rsidRPr="00165EF5" w14:paraId="13E9B8DD"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62FBD5E0"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Agespisa</w:t>
            </w:r>
          </w:p>
        </w:tc>
        <w:tc>
          <w:tcPr>
            <w:tcW w:w="1240" w:type="dxa"/>
            <w:tcBorders>
              <w:top w:val="nil"/>
              <w:left w:val="nil"/>
              <w:bottom w:val="single" w:sz="8" w:space="0" w:color="93D07C"/>
              <w:right w:val="single" w:sz="8" w:space="0" w:color="93D07C"/>
            </w:tcBorders>
            <w:shd w:val="clear" w:color="000000" w:fill="FFFF00"/>
            <w:vAlign w:val="center"/>
            <w:hideMark/>
          </w:tcPr>
          <w:p w14:paraId="7248CD8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550,29</w:t>
            </w:r>
          </w:p>
        </w:tc>
        <w:tc>
          <w:tcPr>
            <w:tcW w:w="1240" w:type="dxa"/>
            <w:tcBorders>
              <w:top w:val="nil"/>
              <w:left w:val="nil"/>
              <w:bottom w:val="single" w:sz="8" w:space="0" w:color="93D07C"/>
              <w:right w:val="single" w:sz="8" w:space="0" w:color="93D07C"/>
            </w:tcBorders>
            <w:shd w:val="clear" w:color="000000" w:fill="FFFF00"/>
            <w:vAlign w:val="center"/>
            <w:hideMark/>
          </w:tcPr>
          <w:p w14:paraId="6E02E95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376,21</w:t>
            </w:r>
          </w:p>
        </w:tc>
        <w:tc>
          <w:tcPr>
            <w:tcW w:w="1240" w:type="dxa"/>
            <w:tcBorders>
              <w:top w:val="nil"/>
              <w:left w:val="nil"/>
              <w:bottom w:val="single" w:sz="8" w:space="0" w:color="93D07C"/>
              <w:right w:val="single" w:sz="8" w:space="0" w:color="93D07C"/>
            </w:tcBorders>
            <w:shd w:val="clear" w:color="000000" w:fill="FFFF00"/>
            <w:vAlign w:val="center"/>
            <w:hideMark/>
          </w:tcPr>
          <w:p w14:paraId="00BDF11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2,50 </w:t>
            </w:r>
          </w:p>
        </w:tc>
        <w:tc>
          <w:tcPr>
            <w:tcW w:w="1240" w:type="dxa"/>
            <w:tcBorders>
              <w:top w:val="nil"/>
              <w:left w:val="nil"/>
              <w:bottom w:val="single" w:sz="8" w:space="0" w:color="93D07C"/>
              <w:right w:val="single" w:sz="8" w:space="0" w:color="93D07C"/>
            </w:tcBorders>
            <w:shd w:val="clear" w:color="000000" w:fill="FFFF00"/>
            <w:vAlign w:val="center"/>
            <w:hideMark/>
          </w:tcPr>
          <w:p w14:paraId="11D6D46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36,65%</w:t>
            </w:r>
          </w:p>
        </w:tc>
        <w:tc>
          <w:tcPr>
            <w:tcW w:w="1240" w:type="dxa"/>
            <w:tcBorders>
              <w:top w:val="nil"/>
              <w:left w:val="nil"/>
              <w:bottom w:val="single" w:sz="8" w:space="0" w:color="93D07C"/>
              <w:right w:val="single" w:sz="8" w:space="0" w:color="93D07C"/>
            </w:tcBorders>
            <w:shd w:val="clear" w:color="000000" w:fill="FFFF00"/>
            <w:vAlign w:val="center"/>
            <w:hideMark/>
          </w:tcPr>
          <w:p w14:paraId="799F2D1C"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45,53%</w:t>
            </w:r>
          </w:p>
        </w:tc>
        <w:tc>
          <w:tcPr>
            <w:tcW w:w="1240" w:type="dxa"/>
            <w:tcBorders>
              <w:top w:val="nil"/>
              <w:left w:val="nil"/>
              <w:bottom w:val="single" w:sz="8" w:space="0" w:color="93D07C"/>
              <w:right w:val="single" w:sz="8" w:space="0" w:color="93D07C"/>
            </w:tcBorders>
            <w:shd w:val="clear" w:color="000000" w:fill="FFFF00"/>
            <w:vAlign w:val="center"/>
            <w:hideMark/>
          </w:tcPr>
          <w:p w14:paraId="6A9291A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345,79</w:t>
            </w:r>
          </w:p>
        </w:tc>
      </w:tr>
      <w:tr w:rsidR="00165EF5" w:rsidRPr="00165EF5" w14:paraId="3649ECF2"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0865B4EE"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Caema</w:t>
            </w:r>
          </w:p>
        </w:tc>
        <w:tc>
          <w:tcPr>
            <w:tcW w:w="1240" w:type="dxa"/>
            <w:tcBorders>
              <w:top w:val="nil"/>
              <w:left w:val="nil"/>
              <w:bottom w:val="single" w:sz="8" w:space="0" w:color="93D07C"/>
              <w:right w:val="single" w:sz="8" w:space="0" w:color="93D07C"/>
            </w:tcBorders>
            <w:shd w:val="clear" w:color="000000" w:fill="FF0000"/>
            <w:vAlign w:val="center"/>
            <w:hideMark/>
          </w:tcPr>
          <w:p w14:paraId="40DABC3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367,72</w:t>
            </w:r>
          </w:p>
        </w:tc>
        <w:tc>
          <w:tcPr>
            <w:tcW w:w="1240" w:type="dxa"/>
            <w:tcBorders>
              <w:top w:val="nil"/>
              <w:left w:val="nil"/>
              <w:bottom w:val="single" w:sz="8" w:space="0" w:color="93D07C"/>
              <w:right w:val="single" w:sz="8" w:space="0" w:color="93D07C"/>
            </w:tcBorders>
            <w:shd w:val="clear" w:color="000000" w:fill="FF0000"/>
            <w:vAlign w:val="center"/>
            <w:hideMark/>
          </w:tcPr>
          <w:p w14:paraId="22746FB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299</w:t>
            </w:r>
          </w:p>
        </w:tc>
        <w:tc>
          <w:tcPr>
            <w:tcW w:w="1240" w:type="dxa"/>
            <w:tcBorders>
              <w:top w:val="nil"/>
              <w:left w:val="nil"/>
              <w:bottom w:val="single" w:sz="8" w:space="0" w:color="93D07C"/>
              <w:right w:val="single" w:sz="8" w:space="0" w:color="93D07C"/>
            </w:tcBorders>
            <w:shd w:val="clear" w:color="000000" w:fill="FF0000"/>
            <w:vAlign w:val="center"/>
            <w:hideMark/>
          </w:tcPr>
          <w:p w14:paraId="67ED929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3,12 </w:t>
            </w:r>
          </w:p>
        </w:tc>
        <w:tc>
          <w:tcPr>
            <w:tcW w:w="1240" w:type="dxa"/>
            <w:tcBorders>
              <w:top w:val="nil"/>
              <w:left w:val="nil"/>
              <w:bottom w:val="single" w:sz="8" w:space="0" w:color="93D07C"/>
              <w:right w:val="single" w:sz="8" w:space="0" w:color="93D07C"/>
            </w:tcBorders>
            <w:shd w:val="clear" w:color="000000" w:fill="FF0000"/>
            <w:vAlign w:val="center"/>
            <w:hideMark/>
          </w:tcPr>
          <w:p w14:paraId="201EB5E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66,97%</w:t>
            </w:r>
          </w:p>
        </w:tc>
        <w:tc>
          <w:tcPr>
            <w:tcW w:w="1240" w:type="dxa"/>
            <w:tcBorders>
              <w:top w:val="nil"/>
              <w:left w:val="nil"/>
              <w:bottom w:val="single" w:sz="8" w:space="0" w:color="93D07C"/>
              <w:right w:val="single" w:sz="8" w:space="0" w:color="93D07C"/>
            </w:tcBorders>
            <w:shd w:val="clear" w:color="000000" w:fill="FF0000"/>
            <w:vAlign w:val="center"/>
            <w:hideMark/>
          </w:tcPr>
          <w:p w14:paraId="5534439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64,55%</w:t>
            </w:r>
          </w:p>
        </w:tc>
        <w:tc>
          <w:tcPr>
            <w:tcW w:w="1240" w:type="dxa"/>
            <w:tcBorders>
              <w:top w:val="nil"/>
              <w:left w:val="nil"/>
              <w:bottom w:val="single" w:sz="8" w:space="0" w:color="93D07C"/>
              <w:right w:val="single" w:sz="8" w:space="0" w:color="93D07C"/>
            </w:tcBorders>
            <w:shd w:val="clear" w:color="000000" w:fill="FF0000"/>
            <w:vAlign w:val="center"/>
            <w:hideMark/>
          </w:tcPr>
          <w:p w14:paraId="5111E34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986,65</w:t>
            </w:r>
          </w:p>
        </w:tc>
      </w:tr>
      <w:tr w:rsidR="00165EF5" w:rsidRPr="00165EF5" w14:paraId="2D3E1C50"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4D13CFF0"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Caer</w:t>
            </w:r>
          </w:p>
        </w:tc>
        <w:tc>
          <w:tcPr>
            <w:tcW w:w="1240" w:type="dxa"/>
            <w:tcBorders>
              <w:top w:val="nil"/>
              <w:left w:val="nil"/>
              <w:bottom w:val="single" w:sz="8" w:space="0" w:color="93D07C"/>
              <w:right w:val="single" w:sz="8" w:space="0" w:color="93D07C"/>
            </w:tcBorders>
            <w:shd w:val="clear" w:color="000000" w:fill="FF0000"/>
            <w:vAlign w:val="center"/>
            <w:hideMark/>
          </w:tcPr>
          <w:p w14:paraId="0C1D03BB"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243,02</w:t>
            </w:r>
          </w:p>
        </w:tc>
        <w:tc>
          <w:tcPr>
            <w:tcW w:w="1240" w:type="dxa"/>
            <w:tcBorders>
              <w:top w:val="nil"/>
              <w:left w:val="nil"/>
              <w:bottom w:val="single" w:sz="8" w:space="0" w:color="93D07C"/>
              <w:right w:val="single" w:sz="8" w:space="0" w:color="93D07C"/>
            </w:tcBorders>
            <w:shd w:val="clear" w:color="000000" w:fill="FF0000"/>
            <w:vAlign w:val="center"/>
            <w:hideMark/>
          </w:tcPr>
          <w:p w14:paraId="5024D2BB"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207,73</w:t>
            </w:r>
          </w:p>
        </w:tc>
        <w:tc>
          <w:tcPr>
            <w:tcW w:w="1240" w:type="dxa"/>
            <w:tcBorders>
              <w:top w:val="nil"/>
              <w:left w:val="nil"/>
              <w:bottom w:val="single" w:sz="8" w:space="0" w:color="93D07C"/>
              <w:right w:val="single" w:sz="8" w:space="0" w:color="93D07C"/>
            </w:tcBorders>
            <w:shd w:val="clear" w:color="000000" w:fill="FFFF00"/>
            <w:vAlign w:val="center"/>
            <w:hideMark/>
          </w:tcPr>
          <w:p w14:paraId="2FB539C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2,64 </w:t>
            </w:r>
          </w:p>
        </w:tc>
        <w:tc>
          <w:tcPr>
            <w:tcW w:w="1240" w:type="dxa"/>
            <w:tcBorders>
              <w:top w:val="nil"/>
              <w:left w:val="nil"/>
              <w:bottom w:val="single" w:sz="8" w:space="0" w:color="93D07C"/>
              <w:right w:val="single" w:sz="8" w:space="0" w:color="93D07C"/>
            </w:tcBorders>
            <w:shd w:val="clear" w:color="000000" w:fill="FF0000"/>
            <w:vAlign w:val="center"/>
            <w:hideMark/>
          </w:tcPr>
          <w:p w14:paraId="567786E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66,21%</w:t>
            </w:r>
          </w:p>
        </w:tc>
        <w:tc>
          <w:tcPr>
            <w:tcW w:w="1240" w:type="dxa"/>
            <w:tcBorders>
              <w:top w:val="nil"/>
              <w:left w:val="nil"/>
              <w:bottom w:val="single" w:sz="8" w:space="0" w:color="93D07C"/>
              <w:right w:val="single" w:sz="8" w:space="0" w:color="93D07C"/>
            </w:tcBorders>
            <w:shd w:val="clear" w:color="000000" w:fill="FF0000"/>
            <w:vAlign w:val="center"/>
            <w:hideMark/>
          </w:tcPr>
          <w:p w14:paraId="42800BF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59,08%</w:t>
            </w:r>
          </w:p>
        </w:tc>
        <w:tc>
          <w:tcPr>
            <w:tcW w:w="1240" w:type="dxa"/>
            <w:tcBorders>
              <w:top w:val="nil"/>
              <w:left w:val="nil"/>
              <w:bottom w:val="single" w:sz="8" w:space="0" w:color="93D07C"/>
              <w:right w:val="single" w:sz="8" w:space="0" w:color="93D07C"/>
            </w:tcBorders>
            <w:shd w:val="clear" w:color="000000" w:fill="FF0000"/>
            <w:vAlign w:val="center"/>
            <w:hideMark/>
          </w:tcPr>
          <w:p w14:paraId="4556C7DC"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914,07</w:t>
            </w:r>
          </w:p>
        </w:tc>
      </w:tr>
      <w:tr w:rsidR="00165EF5" w:rsidRPr="00165EF5" w14:paraId="54FD0046"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42D0F74A"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Caerd</w:t>
            </w:r>
          </w:p>
        </w:tc>
        <w:tc>
          <w:tcPr>
            <w:tcW w:w="1240" w:type="dxa"/>
            <w:tcBorders>
              <w:top w:val="nil"/>
              <w:left w:val="nil"/>
              <w:bottom w:val="single" w:sz="8" w:space="0" w:color="93D07C"/>
              <w:right w:val="single" w:sz="8" w:space="0" w:color="93D07C"/>
            </w:tcBorders>
            <w:shd w:val="clear" w:color="000000" w:fill="FF0000"/>
            <w:vAlign w:val="center"/>
            <w:hideMark/>
          </w:tcPr>
          <w:p w14:paraId="65AB9DA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245,68</w:t>
            </w:r>
          </w:p>
        </w:tc>
        <w:tc>
          <w:tcPr>
            <w:tcW w:w="1240" w:type="dxa"/>
            <w:tcBorders>
              <w:top w:val="nil"/>
              <w:left w:val="nil"/>
              <w:bottom w:val="single" w:sz="8" w:space="0" w:color="93D07C"/>
              <w:right w:val="single" w:sz="8" w:space="0" w:color="93D07C"/>
            </w:tcBorders>
            <w:shd w:val="clear" w:color="000000" w:fill="FF0000"/>
            <w:vAlign w:val="center"/>
            <w:hideMark/>
          </w:tcPr>
          <w:p w14:paraId="03CB423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220,52</w:t>
            </w:r>
          </w:p>
        </w:tc>
        <w:tc>
          <w:tcPr>
            <w:tcW w:w="1240" w:type="dxa"/>
            <w:tcBorders>
              <w:top w:val="nil"/>
              <w:left w:val="nil"/>
              <w:bottom w:val="single" w:sz="8" w:space="0" w:color="93D07C"/>
              <w:right w:val="single" w:sz="8" w:space="0" w:color="93D07C"/>
            </w:tcBorders>
            <w:shd w:val="clear" w:color="000000" w:fill="FF0000"/>
            <w:vAlign w:val="center"/>
            <w:hideMark/>
          </w:tcPr>
          <w:p w14:paraId="27B732A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5,04 </w:t>
            </w:r>
          </w:p>
        </w:tc>
        <w:tc>
          <w:tcPr>
            <w:tcW w:w="1240" w:type="dxa"/>
            <w:tcBorders>
              <w:top w:val="nil"/>
              <w:left w:val="nil"/>
              <w:bottom w:val="single" w:sz="8" w:space="0" w:color="93D07C"/>
              <w:right w:val="single" w:sz="8" w:space="0" w:color="93D07C"/>
            </w:tcBorders>
            <w:shd w:val="clear" w:color="000000" w:fill="FF0000"/>
            <w:vAlign w:val="center"/>
            <w:hideMark/>
          </w:tcPr>
          <w:p w14:paraId="3A20381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54,46%</w:t>
            </w:r>
          </w:p>
        </w:tc>
        <w:tc>
          <w:tcPr>
            <w:tcW w:w="1240" w:type="dxa"/>
            <w:tcBorders>
              <w:top w:val="nil"/>
              <w:left w:val="nil"/>
              <w:bottom w:val="single" w:sz="8" w:space="0" w:color="93D07C"/>
              <w:right w:val="single" w:sz="8" w:space="0" w:color="93D07C"/>
            </w:tcBorders>
            <w:shd w:val="clear" w:color="000000" w:fill="FF0000"/>
            <w:vAlign w:val="center"/>
            <w:hideMark/>
          </w:tcPr>
          <w:p w14:paraId="0114C65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54,42%</w:t>
            </w:r>
          </w:p>
        </w:tc>
        <w:tc>
          <w:tcPr>
            <w:tcW w:w="1240" w:type="dxa"/>
            <w:tcBorders>
              <w:top w:val="nil"/>
              <w:left w:val="nil"/>
              <w:bottom w:val="single" w:sz="8" w:space="0" w:color="93D07C"/>
              <w:right w:val="single" w:sz="8" w:space="0" w:color="93D07C"/>
            </w:tcBorders>
            <w:shd w:val="clear" w:color="000000" w:fill="FF0000"/>
            <w:vAlign w:val="center"/>
            <w:hideMark/>
          </w:tcPr>
          <w:p w14:paraId="150AA8D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702,74</w:t>
            </w:r>
          </w:p>
        </w:tc>
      </w:tr>
      <w:tr w:rsidR="00165EF5" w:rsidRPr="00165EF5" w14:paraId="00194B2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0900688B"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Caern</w:t>
            </w:r>
          </w:p>
        </w:tc>
        <w:tc>
          <w:tcPr>
            <w:tcW w:w="1240" w:type="dxa"/>
            <w:tcBorders>
              <w:top w:val="nil"/>
              <w:left w:val="nil"/>
              <w:bottom w:val="single" w:sz="8" w:space="0" w:color="93D07C"/>
              <w:right w:val="single" w:sz="8" w:space="0" w:color="93D07C"/>
            </w:tcBorders>
            <w:shd w:val="clear" w:color="000000" w:fill="FFFF00"/>
            <w:vAlign w:val="center"/>
            <w:hideMark/>
          </w:tcPr>
          <w:p w14:paraId="6FB755E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451,06</w:t>
            </w:r>
          </w:p>
        </w:tc>
        <w:tc>
          <w:tcPr>
            <w:tcW w:w="1240" w:type="dxa"/>
            <w:tcBorders>
              <w:top w:val="nil"/>
              <w:left w:val="nil"/>
              <w:bottom w:val="single" w:sz="8" w:space="0" w:color="93D07C"/>
              <w:right w:val="single" w:sz="8" w:space="0" w:color="93D07C"/>
            </w:tcBorders>
            <w:shd w:val="clear" w:color="000000" w:fill="FFFF00"/>
            <w:vAlign w:val="center"/>
            <w:hideMark/>
          </w:tcPr>
          <w:p w14:paraId="6766EAE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339,63</w:t>
            </w:r>
          </w:p>
        </w:tc>
        <w:tc>
          <w:tcPr>
            <w:tcW w:w="1240" w:type="dxa"/>
            <w:tcBorders>
              <w:top w:val="nil"/>
              <w:left w:val="nil"/>
              <w:bottom w:val="single" w:sz="8" w:space="0" w:color="93D07C"/>
              <w:right w:val="single" w:sz="8" w:space="0" w:color="93D07C"/>
            </w:tcBorders>
            <w:shd w:val="clear" w:color="000000" w:fill="FFFF00"/>
            <w:vAlign w:val="center"/>
            <w:hideMark/>
          </w:tcPr>
          <w:p w14:paraId="724ED9D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2,90 </w:t>
            </w:r>
          </w:p>
        </w:tc>
        <w:tc>
          <w:tcPr>
            <w:tcW w:w="1240" w:type="dxa"/>
            <w:tcBorders>
              <w:top w:val="nil"/>
              <w:left w:val="nil"/>
              <w:bottom w:val="single" w:sz="8" w:space="0" w:color="93D07C"/>
              <w:right w:val="single" w:sz="8" w:space="0" w:color="93D07C"/>
            </w:tcBorders>
            <w:shd w:val="clear" w:color="000000" w:fill="FF0000"/>
            <w:vAlign w:val="center"/>
            <w:hideMark/>
          </w:tcPr>
          <w:p w14:paraId="5606F35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45,88%</w:t>
            </w:r>
          </w:p>
        </w:tc>
        <w:tc>
          <w:tcPr>
            <w:tcW w:w="1240" w:type="dxa"/>
            <w:tcBorders>
              <w:top w:val="nil"/>
              <w:left w:val="nil"/>
              <w:bottom w:val="single" w:sz="8" w:space="0" w:color="93D07C"/>
              <w:right w:val="single" w:sz="8" w:space="0" w:color="93D07C"/>
            </w:tcBorders>
            <w:shd w:val="clear" w:color="000000" w:fill="FF0000"/>
            <w:vAlign w:val="center"/>
            <w:hideMark/>
          </w:tcPr>
          <w:p w14:paraId="63B2A80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53,06%</w:t>
            </w:r>
          </w:p>
        </w:tc>
        <w:tc>
          <w:tcPr>
            <w:tcW w:w="1240" w:type="dxa"/>
            <w:tcBorders>
              <w:top w:val="nil"/>
              <w:left w:val="nil"/>
              <w:bottom w:val="single" w:sz="8" w:space="0" w:color="93D07C"/>
              <w:right w:val="single" w:sz="8" w:space="0" w:color="93D07C"/>
            </w:tcBorders>
            <w:shd w:val="clear" w:color="000000" w:fill="FF0000"/>
            <w:vAlign w:val="center"/>
            <w:hideMark/>
          </w:tcPr>
          <w:p w14:paraId="57E4D05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453,26</w:t>
            </w:r>
          </w:p>
        </w:tc>
      </w:tr>
      <w:tr w:rsidR="00165EF5" w:rsidRPr="00165EF5" w14:paraId="2D8F30DD"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656433A9"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Caesa</w:t>
            </w:r>
          </w:p>
        </w:tc>
        <w:tc>
          <w:tcPr>
            <w:tcW w:w="1240" w:type="dxa"/>
            <w:tcBorders>
              <w:top w:val="nil"/>
              <w:left w:val="nil"/>
              <w:bottom w:val="single" w:sz="8" w:space="0" w:color="93D07C"/>
              <w:right w:val="single" w:sz="8" w:space="0" w:color="93D07C"/>
            </w:tcBorders>
            <w:shd w:val="clear" w:color="000000" w:fill="FF0000"/>
            <w:vAlign w:val="center"/>
            <w:hideMark/>
          </w:tcPr>
          <w:p w14:paraId="501ED23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251,26</w:t>
            </w:r>
          </w:p>
        </w:tc>
        <w:tc>
          <w:tcPr>
            <w:tcW w:w="1240" w:type="dxa"/>
            <w:tcBorders>
              <w:top w:val="nil"/>
              <w:left w:val="nil"/>
              <w:bottom w:val="single" w:sz="8" w:space="0" w:color="93D07C"/>
              <w:right w:val="single" w:sz="8" w:space="0" w:color="93D07C"/>
            </w:tcBorders>
            <w:shd w:val="clear" w:color="000000" w:fill="FF0000"/>
            <w:vAlign w:val="center"/>
            <w:hideMark/>
          </w:tcPr>
          <w:p w14:paraId="49730D6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195,86</w:t>
            </w:r>
          </w:p>
        </w:tc>
        <w:tc>
          <w:tcPr>
            <w:tcW w:w="1240" w:type="dxa"/>
            <w:tcBorders>
              <w:top w:val="nil"/>
              <w:left w:val="nil"/>
              <w:bottom w:val="single" w:sz="8" w:space="0" w:color="93D07C"/>
              <w:right w:val="single" w:sz="8" w:space="0" w:color="93D07C"/>
            </w:tcBorders>
            <w:shd w:val="clear" w:color="000000" w:fill="FFFF00"/>
            <w:vAlign w:val="center"/>
            <w:hideMark/>
          </w:tcPr>
          <w:p w14:paraId="5DD4F8B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2,80 </w:t>
            </w:r>
          </w:p>
        </w:tc>
        <w:tc>
          <w:tcPr>
            <w:tcW w:w="1240" w:type="dxa"/>
            <w:tcBorders>
              <w:top w:val="nil"/>
              <w:left w:val="nil"/>
              <w:bottom w:val="single" w:sz="8" w:space="0" w:color="93D07C"/>
              <w:right w:val="single" w:sz="8" w:space="0" w:color="93D07C"/>
            </w:tcBorders>
            <w:shd w:val="clear" w:color="000000" w:fill="FF0000"/>
            <w:vAlign w:val="center"/>
            <w:hideMark/>
          </w:tcPr>
          <w:p w14:paraId="4E5639FB"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72,01%</w:t>
            </w:r>
          </w:p>
        </w:tc>
        <w:tc>
          <w:tcPr>
            <w:tcW w:w="1240" w:type="dxa"/>
            <w:tcBorders>
              <w:top w:val="nil"/>
              <w:left w:val="nil"/>
              <w:bottom w:val="single" w:sz="8" w:space="0" w:color="93D07C"/>
              <w:right w:val="single" w:sz="8" w:space="0" w:color="93D07C"/>
            </w:tcBorders>
            <w:shd w:val="clear" w:color="000000" w:fill="FF0000"/>
            <w:vAlign w:val="center"/>
            <w:hideMark/>
          </w:tcPr>
          <w:p w14:paraId="5CFB202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74,82%</w:t>
            </w:r>
          </w:p>
        </w:tc>
        <w:tc>
          <w:tcPr>
            <w:tcW w:w="1240" w:type="dxa"/>
            <w:tcBorders>
              <w:top w:val="nil"/>
              <w:left w:val="nil"/>
              <w:bottom w:val="single" w:sz="8" w:space="0" w:color="93D07C"/>
              <w:right w:val="single" w:sz="8" w:space="0" w:color="93D07C"/>
            </w:tcBorders>
            <w:shd w:val="clear" w:color="000000" w:fill="FF0000"/>
            <w:vAlign w:val="center"/>
            <w:hideMark/>
          </w:tcPr>
          <w:p w14:paraId="290E884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2.063,77</w:t>
            </w:r>
          </w:p>
        </w:tc>
      </w:tr>
      <w:tr w:rsidR="00165EF5" w:rsidRPr="00165EF5" w14:paraId="26511C54"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695247AE"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Caesb</w:t>
            </w:r>
          </w:p>
        </w:tc>
        <w:tc>
          <w:tcPr>
            <w:tcW w:w="1240" w:type="dxa"/>
            <w:tcBorders>
              <w:top w:val="nil"/>
              <w:left w:val="nil"/>
              <w:bottom w:val="single" w:sz="8" w:space="0" w:color="93D07C"/>
              <w:right w:val="single" w:sz="8" w:space="0" w:color="93D07C"/>
            </w:tcBorders>
            <w:shd w:val="clear" w:color="000000" w:fill="92D050"/>
            <w:vAlign w:val="center"/>
            <w:hideMark/>
          </w:tcPr>
          <w:p w14:paraId="1494BD4C"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720,1</w:t>
            </w:r>
          </w:p>
        </w:tc>
        <w:tc>
          <w:tcPr>
            <w:tcW w:w="1240" w:type="dxa"/>
            <w:tcBorders>
              <w:top w:val="nil"/>
              <w:left w:val="nil"/>
              <w:bottom w:val="single" w:sz="8" w:space="0" w:color="93D07C"/>
              <w:right w:val="single" w:sz="8" w:space="0" w:color="93D07C"/>
            </w:tcBorders>
            <w:shd w:val="clear" w:color="000000" w:fill="92D050"/>
            <w:vAlign w:val="center"/>
            <w:hideMark/>
          </w:tcPr>
          <w:p w14:paraId="292ED35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566,54</w:t>
            </w:r>
          </w:p>
        </w:tc>
        <w:tc>
          <w:tcPr>
            <w:tcW w:w="1240" w:type="dxa"/>
            <w:tcBorders>
              <w:top w:val="nil"/>
              <w:left w:val="nil"/>
              <w:bottom w:val="single" w:sz="8" w:space="0" w:color="93D07C"/>
              <w:right w:val="single" w:sz="8" w:space="0" w:color="93D07C"/>
            </w:tcBorders>
            <w:shd w:val="clear" w:color="000000" w:fill="FF0000"/>
            <w:vAlign w:val="center"/>
            <w:hideMark/>
          </w:tcPr>
          <w:p w14:paraId="046E9C6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3,75 </w:t>
            </w:r>
          </w:p>
        </w:tc>
        <w:tc>
          <w:tcPr>
            <w:tcW w:w="1240" w:type="dxa"/>
            <w:tcBorders>
              <w:top w:val="nil"/>
              <w:left w:val="nil"/>
              <w:bottom w:val="single" w:sz="8" w:space="0" w:color="93D07C"/>
              <w:right w:val="single" w:sz="8" w:space="0" w:color="93D07C"/>
            </w:tcBorders>
            <w:shd w:val="clear" w:color="000000" w:fill="92D050"/>
            <w:vAlign w:val="center"/>
            <w:hideMark/>
          </w:tcPr>
          <w:p w14:paraId="2273EA0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24,97%</w:t>
            </w:r>
          </w:p>
        </w:tc>
        <w:tc>
          <w:tcPr>
            <w:tcW w:w="1240" w:type="dxa"/>
            <w:tcBorders>
              <w:top w:val="nil"/>
              <w:left w:val="nil"/>
              <w:bottom w:val="single" w:sz="8" w:space="0" w:color="93D07C"/>
              <w:right w:val="single" w:sz="8" w:space="0" w:color="93D07C"/>
            </w:tcBorders>
            <w:shd w:val="clear" w:color="000000" w:fill="92D050"/>
            <w:vAlign w:val="center"/>
            <w:hideMark/>
          </w:tcPr>
          <w:p w14:paraId="53E6B024"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35,19%</w:t>
            </w:r>
          </w:p>
        </w:tc>
        <w:tc>
          <w:tcPr>
            <w:tcW w:w="1240" w:type="dxa"/>
            <w:tcBorders>
              <w:top w:val="nil"/>
              <w:left w:val="nil"/>
              <w:bottom w:val="single" w:sz="8" w:space="0" w:color="93D07C"/>
              <w:right w:val="single" w:sz="8" w:space="0" w:color="93D07C"/>
            </w:tcBorders>
            <w:shd w:val="clear" w:color="000000" w:fill="FFFF00"/>
            <w:vAlign w:val="center"/>
            <w:hideMark/>
          </w:tcPr>
          <w:p w14:paraId="5400307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380,97</w:t>
            </w:r>
          </w:p>
        </w:tc>
      </w:tr>
      <w:tr w:rsidR="00165EF5" w:rsidRPr="00165EF5" w14:paraId="46718B68"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10B89218"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Cagece</w:t>
            </w:r>
          </w:p>
        </w:tc>
        <w:tc>
          <w:tcPr>
            <w:tcW w:w="1240" w:type="dxa"/>
            <w:tcBorders>
              <w:top w:val="nil"/>
              <w:left w:val="nil"/>
              <w:bottom w:val="single" w:sz="8" w:space="0" w:color="93D07C"/>
              <w:right w:val="single" w:sz="8" w:space="0" w:color="93D07C"/>
            </w:tcBorders>
            <w:shd w:val="clear" w:color="000000" w:fill="92D050"/>
            <w:vAlign w:val="center"/>
            <w:hideMark/>
          </w:tcPr>
          <w:p w14:paraId="13C9527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1468,85</w:t>
            </w:r>
          </w:p>
        </w:tc>
        <w:tc>
          <w:tcPr>
            <w:tcW w:w="1240" w:type="dxa"/>
            <w:tcBorders>
              <w:top w:val="nil"/>
              <w:left w:val="nil"/>
              <w:bottom w:val="single" w:sz="8" w:space="0" w:color="93D07C"/>
              <w:right w:val="single" w:sz="8" w:space="0" w:color="93D07C"/>
            </w:tcBorders>
            <w:shd w:val="clear" w:color="000000" w:fill="92D050"/>
            <w:vAlign w:val="center"/>
            <w:hideMark/>
          </w:tcPr>
          <w:p w14:paraId="2D6CD44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781,09</w:t>
            </w:r>
          </w:p>
        </w:tc>
        <w:tc>
          <w:tcPr>
            <w:tcW w:w="1240" w:type="dxa"/>
            <w:tcBorders>
              <w:top w:val="nil"/>
              <w:left w:val="nil"/>
              <w:bottom w:val="single" w:sz="8" w:space="0" w:color="93D07C"/>
              <w:right w:val="single" w:sz="8" w:space="0" w:color="93D07C"/>
            </w:tcBorders>
            <w:shd w:val="clear" w:color="000000" w:fill="92D050"/>
            <w:vAlign w:val="center"/>
            <w:hideMark/>
          </w:tcPr>
          <w:p w14:paraId="4319759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2,15 </w:t>
            </w:r>
          </w:p>
        </w:tc>
        <w:tc>
          <w:tcPr>
            <w:tcW w:w="1240" w:type="dxa"/>
            <w:tcBorders>
              <w:top w:val="nil"/>
              <w:left w:val="nil"/>
              <w:bottom w:val="single" w:sz="8" w:space="0" w:color="93D07C"/>
              <w:right w:val="single" w:sz="8" w:space="0" w:color="93D07C"/>
            </w:tcBorders>
            <w:shd w:val="clear" w:color="000000" w:fill="92D050"/>
            <w:vAlign w:val="center"/>
            <w:hideMark/>
          </w:tcPr>
          <w:p w14:paraId="42C1507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26,23%</w:t>
            </w:r>
          </w:p>
        </w:tc>
        <w:tc>
          <w:tcPr>
            <w:tcW w:w="1240" w:type="dxa"/>
            <w:tcBorders>
              <w:top w:val="nil"/>
              <w:left w:val="nil"/>
              <w:bottom w:val="single" w:sz="8" w:space="0" w:color="93D07C"/>
              <w:right w:val="single" w:sz="8" w:space="0" w:color="93D07C"/>
            </w:tcBorders>
            <w:shd w:val="clear" w:color="000000" w:fill="FFFF00"/>
            <w:vAlign w:val="center"/>
            <w:hideMark/>
          </w:tcPr>
          <w:p w14:paraId="0D37BB1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43,82%</w:t>
            </w:r>
          </w:p>
        </w:tc>
        <w:tc>
          <w:tcPr>
            <w:tcW w:w="1240" w:type="dxa"/>
            <w:tcBorders>
              <w:top w:val="nil"/>
              <w:left w:val="nil"/>
              <w:bottom w:val="single" w:sz="8" w:space="0" w:color="93D07C"/>
              <w:right w:val="single" w:sz="8" w:space="0" w:color="93D07C"/>
            </w:tcBorders>
            <w:shd w:val="clear" w:color="000000" w:fill="FFFF00"/>
            <w:vAlign w:val="center"/>
            <w:hideMark/>
          </w:tcPr>
          <w:p w14:paraId="2E1067F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280,76</w:t>
            </w:r>
          </w:p>
        </w:tc>
      </w:tr>
      <w:tr w:rsidR="00165EF5" w:rsidRPr="00165EF5" w14:paraId="1CFA2BC8"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0CFDE75B"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Cagepa</w:t>
            </w:r>
          </w:p>
        </w:tc>
        <w:tc>
          <w:tcPr>
            <w:tcW w:w="1240" w:type="dxa"/>
            <w:tcBorders>
              <w:top w:val="nil"/>
              <w:left w:val="nil"/>
              <w:bottom w:val="single" w:sz="8" w:space="0" w:color="93D07C"/>
              <w:right w:val="single" w:sz="8" w:space="0" w:color="93D07C"/>
            </w:tcBorders>
            <w:shd w:val="clear" w:color="000000" w:fill="FF0000"/>
            <w:vAlign w:val="center"/>
            <w:hideMark/>
          </w:tcPr>
          <w:p w14:paraId="03A147FB"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398,02</w:t>
            </w:r>
          </w:p>
        </w:tc>
        <w:tc>
          <w:tcPr>
            <w:tcW w:w="1240" w:type="dxa"/>
            <w:tcBorders>
              <w:top w:val="nil"/>
              <w:left w:val="nil"/>
              <w:bottom w:val="single" w:sz="8" w:space="0" w:color="93D07C"/>
              <w:right w:val="single" w:sz="8" w:space="0" w:color="93D07C"/>
            </w:tcBorders>
            <w:shd w:val="clear" w:color="000000" w:fill="FFFF00"/>
            <w:vAlign w:val="center"/>
            <w:hideMark/>
          </w:tcPr>
          <w:p w14:paraId="5D532B5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315,22</w:t>
            </w:r>
          </w:p>
        </w:tc>
        <w:tc>
          <w:tcPr>
            <w:tcW w:w="1240" w:type="dxa"/>
            <w:tcBorders>
              <w:top w:val="nil"/>
              <w:left w:val="nil"/>
              <w:bottom w:val="single" w:sz="8" w:space="0" w:color="93D07C"/>
              <w:right w:val="single" w:sz="8" w:space="0" w:color="93D07C"/>
            </w:tcBorders>
            <w:shd w:val="clear" w:color="000000" w:fill="FF0000"/>
            <w:vAlign w:val="center"/>
            <w:hideMark/>
          </w:tcPr>
          <w:p w14:paraId="5AB1B90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2,93 </w:t>
            </w:r>
          </w:p>
        </w:tc>
        <w:tc>
          <w:tcPr>
            <w:tcW w:w="1240" w:type="dxa"/>
            <w:tcBorders>
              <w:top w:val="nil"/>
              <w:left w:val="nil"/>
              <w:bottom w:val="single" w:sz="8" w:space="0" w:color="93D07C"/>
              <w:right w:val="single" w:sz="8" w:space="0" w:color="93D07C"/>
            </w:tcBorders>
            <w:shd w:val="clear" w:color="000000" w:fill="FFFF00"/>
            <w:vAlign w:val="center"/>
            <w:hideMark/>
          </w:tcPr>
          <w:p w14:paraId="6F147CB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27,03%</w:t>
            </w:r>
          </w:p>
        </w:tc>
        <w:tc>
          <w:tcPr>
            <w:tcW w:w="1240" w:type="dxa"/>
            <w:tcBorders>
              <w:top w:val="nil"/>
              <w:left w:val="nil"/>
              <w:bottom w:val="single" w:sz="8" w:space="0" w:color="93D07C"/>
              <w:right w:val="single" w:sz="8" w:space="0" w:color="93D07C"/>
            </w:tcBorders>
            <w:shd w:val="clear" w:color="000000" w:fill="FFFF00"/>
            <w:vAlign w:val="center"/>
            <w:hideMark/>
          </w:tcPr>
          <w:p w14:paraId="0001484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38,38%</w:t>
            </w:r>
          </w:p>
        </w:tc>
        <w:tc>
          <w:tcPr>
            <w:tcW w:w="1240" w:type="dxa"/>
            <w:tcBorders>
              <w:top w:val="nil"/>
              <w:left w:val="nil"/>
              <w:bottom w:val="single" w:sz="8" w:space="0" w:color="93D07C"/>
              <w:right w:val="single" w:sz="8" w:space="0" w:color="93D07C"/>
            </w:tcBorders>
            <w:shd w:val="clear" w:color="000000" w:fill="92D050"/>
            <w:vAlign w:val="center"/>
            <w:hideMark/>
          </w:tcPr>
          <w:p w14:paraId="4C3EB6D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240,92</w:t>
            </w:r>
          </w:p>
        </w:tc>
      </w:tr>
      <w:tr w:rsidR="00165EF5" w:rsidRPr="00165EF5" w14:paraId="7D9D612C"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446E63C9"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Casal</w:t>
            </w:r>
          </w:p>
        </w:tc>
        <w:tc>
          <w:tcPr>
            <w:tcW w:w="1240" w:type="dxa"/>
            <w:tcBorders>
              <w:top w:val="nil"/>
              <w:left w:val="nil"/>
              <w:bottom w:val="single" w:sz="8" w:space="0" w:color="93D07C"/>
              <w:right w:val="single" w:sz="8" w:space="0" w:color="93D07C"/>
            </w:tcBorders>
            <w:shd w:val="clear" w:color="000000" w:fill="FF0000"/>
            <w:vAlign w:val="center"/>
            <w:hideMark/>
          </w:tcPr>
          <w:p w14:paraId="59F6DE7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441,78</w:t>
            </w:r>
          </w:p>
        </w:tc>
        <w:tc>
          <w:tcPr>
            <w:tcW w:w="1240" w:type="dxa"/>
            <w:tcBorders>
              <w:top w:val="nil"/>
              <w:left w:val="nil"/>
              <w:bottom w:val="single" w:sz="8" w:space="0" w:color="93D07C"/>
              <w:right w:val="single" w:sz="8" w:space="0" w:color="93D07C"/>
            </w:tcBorders>
            <w:shd w:val="clear" w:color="000000" w:fill="FF0000"/>
            <w:vAlign w:val="center"/>
            <w:hideMark/>
          </w:tcPr>
          <w:p w14:paraId="6EC1BA9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309,2</w:t>
            </w:r>
          </w:p>
        </w:tc>
        <w:tc>
          <w:tcPr>
            <w:tcW w:w="1240" w:type="dxa"/>
            <w:tcBorders>
              <w:top w:val="nil"/>
              <w:left w:val="nil"/>
              <w:bottom w:val="single" w:sz="8" w:space="0" w:color="93D07C"/>
              <w:right w:val="single" w:sz="8" w:space="0" w:color="93D07C"/>
            </w:tcBorders>
            <w:shd w:val="clear" w:color="000000" w:fill="FF0000"/>
            <w:vAlign w:val="center"/>
            <w:hideMark/>
          </w:tcPr>
          <w:p w14:paraId="192055F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3,89 </w:t>
            </w:r>
          </w:p>
        </w:tc>
        <w:tc>
          <w:tcPr>
            <w:tcW w:w="1240" w:type="dxa"/>
            <w:tcBorders>
              <w:top w:val="nil"/>
              <w:left w:val="nil"/>
              <w:bottom w:val="single" w:sz="8" w:space="0" w:color="93D07C"/>
              <w:right w:val="single" w:sz="8" w:space="0" w:color="93D07C"/>
            </w:tcBorders>
            <w:shd w:val="clear" w:color="000000" w:fill="FF0000"/>
            <w:vAlign w:val="center"/>
            <w:hideMark/>
          </w:tcPr>
          <w:p w14:paraId="088F1BE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67,87%</w:t>
            </w:r>
          </w:p>
        </w:tc>
        <w:tc>
          <w:tcPr>
            <w:tcW w:w="1240" w:type="dxa"/>
            <w:tcBorders>
              <w:top w:val="nil"/>
              <w:left w:val="nil"/>
              <w:bottom w:val="single" w:sz="8" w:space="0" w:color="93D07C"/>
              <w:right w:val="single" w:sz="8" w:space="0" w:color="93D07C"/>
            </w:tcBorders>
            <w:shd w:val="clear" w:color="000000" w:fill="FF0000"/>
            <w:vAlign w:val="center"/>
            <w:hideMark/>
          </w:tcPr>
          <w:p w14:paraId="752F579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46,07%</w:t>
            </w:r>
          </w:p>
        </w:tc>
        <w:tc>
          <w:tcPr>
            <w:tcW w:w="1240" w:type="dxa"/>
            <w:tcBorders>
              <w:top w:val="nil"/>
              <w:left w:val="nil"/>
              <w:bottom w:val="single" w:sz="8" w:space="0" w:color="93D07C"/>
              <w:right w:val="single" w:sz="8" w:space="0" w:color="93D07C"/>
            </w:tcBorders>
            <w:shd w:val="clear" w:color="000000" w:fill="FF0000"/>
            <w:vAlign w:val="center"/>
            <w:hideMark/>
          </w:tcPr>
          <w:p w14:paraId="343F5B4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665,54</w:t>
            </w:r>
          </w:p>
        </w:tc>
      </w:tr>
      <w:tr w:rsidR="00165EF5" w:rsidRPr="00165EF5" w14:paraId="22CBC3E1"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19A5BF89"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Casan</w:t>
            </w:r>
          </w:p>
        </w:tc>
        <w:tc>
          <w:tcPr>
            <w:tcW w:w="1240" w:type="dxa"/>
            <w:tcBorders>
              <w:top w:val="nil"/>
              <w:left w:val="nil"/>
              <w:bottom w:val="single" w:sz="8" w:space="0" w:color="93D07C"/>
              <w:right w:val="single" w:sz="8" w:space="0" w:color="93D07C"/>
            </w:tcBorders>
            <w:shd w:val="clear" w:color="000000" w:fill="FFFF00"/>
            <w:vAlign w:val="center"/>
            <w:hideMark/>
          </w:tcPr>
          <w:p w14:paraId="06B1A9A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505,46</w:t>
            </w:r>
          </w:p>
        </w:tc>
        <w:tc>
          <w:tcPr>
            <w:tcW w:w="1240" w:type="dxa"/>
            <w:tcBorders>
              <w:top w:val="nil"/>
              <w:left w:val="nil"/>
              <w:bottom w:val="single" w:sz="8" w:space="0" w:color="93D07C"/>
              <w:right w:val="single" w:sz="8" w:space="0" w:color="93D07C"/>
            </w:tcBorders>
            <w:shd w:val="clear" w:color="000000" w:fill="FFFF00"/>
            <w:vAlign w:val="center"/>
            <w:hideMark/>
          </w:tcPr>
          <w:p w14:paraId="68C594E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372,93</w:t>
            </w:r>
          </w:p>
        </w:tc>
        <w:tc>
          <w:tcPr>
            <w:tcW w:w="1240" w:type="dxa"/>
            <w:tcBorders>
              <w:top w:val="nil"/>
              <w:left w:val="nil"/>
              <w:bottom w:val="single" w:sz="8" w:space="0" w:color="93D07C"/>
              <w:right w:val="single" w:sz="8" w:space="0" w:color="93D07C"/>
            </w:tcBorders>
            <w:shd w:val="clear" w:color="000000" w:fill="FF0000"/>
            <w:vAlign w:val="center"/>
            <w:hideMark/>
          </w:tcPr>
          <w:p w14:paraId="7EEE2EB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3,19 </w:t>
            </w:r>
          </w:p>
        </w:tc>
        <w:tc>
          <w:tcPr>
            <w:tcW w:w="1240" w:type="dxa"/>
            <w:tcBorders>
              <w:top w:val="nil"/>
              <w:left w:val="nil"/>
              <w:bottom w:val="single" w:sz="8" w:space="0" w:color="93D07C"/>
              <w:right w:val="single" w:sz="8" w:space="0" w:color="93D07C"/>
            </w:tcBorders>
            <w:shd w:val="clear" w:color="000000" w:fill="92D050"/>
            <w:vAlign w:val="center"/>
            <w:hideMark/>
          </w:tcPr>
          <w:p w14:paraId="128329A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24,69%</w:t>
            </w:r>
          </w:p>
        </w:tc>
        <w:tc>
          <w:tcPr>
            <w:tcW w:w="1240" w:type="dxa"/>
            <w:tcBorders>
              <w:top w:val="nil"/>
              <w:left w:val="nil"/>
              <w:bottom w:val="single" w:sz="8" w:space="0" w:color="93D07C"/>
              <w:right w:val="single" w:sz="8" w:space="0" w:color="93D07C"/>
            </w:tcBorders>
            <w:shd w:val="clear" w:color="000000" w:fill="FFFF00"/>
            <w:vAlign w:val="center"/>
            <w:hideMark/>
          </w:tcPr>
          <w:p w14:paraId="4CE1B93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38,89%</w:t>
            </w:r>
          </w:p>
        </w:tc>
        <w:tc>
          <w:tcPr>
            <w:tcW w:w="1240" w:type="dxa"/>
            <w:tcBorders>
              <w:top w:val="nil"/>
              <w:left w:val="nil"/>
              <w:bottom w:val="single" w:sz="8" w:space="0" w:color="93D07C"/>
              <w:right w:val="single" w:sz="8" w:space="0" w:color="93D07C"/>
            </w:tcBorders>
            <w:shd w:val="clear" w:color="000000" w:fill="FFFF00"/>
            <w:vAlign w:val="center"/>
            <w:hideMark/>
          </w:tcPr>
          <w:p w14:paraId="0A8B731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341,78</w:t>
            </w:r>
          </w:p>
        </w:tc>
      </w:tr>
      <w:tr w:rsidR="00165EF5" w:rsidRPr="00165EF5" w14:paraId="00AF5AF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7E2645E2"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Cedae</w:t>
            </w:r>
          </w:p>
        </w:tc>
        <w:tc>
          <w:tcPr>
            <w:tcW w:w="1240" w:type="dxa"/>
            <w:tcBorders>
              <w:top w:val="nil"/>
              <w:left w:val="nil"/>
              <w:bottom w:val="single" w:sz="8" w:space="0" w:color="93D07C"/>
              <w:right w:val="single" w:sz="8" w:space="0" w:color="93D07C"/>
            </w:tcBorders>
            <w:shd w:val="clear" w:color="000000" w:fill="92D050"/>
            <w:vAlign w:val="center"/>
            <w:hideMark/>
          </w:tcPr>
          <w:p w14:paraId="1D53E35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972,48</w:t>
            </w:r>
          </w:p>
        </w:tc>
        <w:tc>
          <w:tcPr>
            <w:tcW w:w="1240" w:type="dxa"/>
            <w:tcBorders>
              <w:top w:val="nil"/>
              <w:left w:val="nil"/>
              <w:bottom w:val="single" w:sz="8" w:space="0" w:color="93D07C"/>
              <w:right w:val="single" w:sz="8" w:space="0" w:color="93D07C"/>
            </w:tcBorders>
            <w:shd w:val="clear" w:color="000000" w:fill="92D050"/>
            <w:vAlign w:val="center"/>
            <w:hideMark/>
          </w:tcPr>
          <w:p w14:paraId="364469C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698,32</w:t>
            </w:r>
          </w:p>
        </w:tc>
        <w:tc>
          <w:tcPr>
            <w:tcW w:w="1240" w:type="dxa"/>
            <w:tcBorders>
              <w:top w:val="nil"/>
              <w:left w:val="nil"/>
              <w:bottom w:val="single" w:sz="8" w:space="0" w:color="93D07C"/>
              <w:right w:val="single" w:sz="8" w:space="0" w:color="93D07C"/>
            </w:tcBorders>
            <w:shd w:val="clear" w:color="000000" w:fill="92D050"/>
            <w:vAlign w:val="center"/>
            <w:hideMark/>
          </w:tcPr>
          <w:p w14:paraId="799AB87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1,48 </w:t>
            </w:r>
          </w:p>
        </w:tc>
        <w:tc>
          <w:tcPr>
            <w:tcW w:w="1240" w:type="dxa"/>
            <w:tcBorders>
              <w:top w:val="nil"/>
              <w:left w:val="nil"/>
              <w:bottom w:val="single" w:sz="8" w:space="0" w:color="93D07C"/>
              <w:right w:val="single" w:sz="8" w:space="0" w:color="93D07C"/>
            </w:tcBorders>
            <w:shd w:val="clear" w:color="000000" w:fill="FF0000"/>
            <w:vAlign w:val="center"/>
            <w:hideMark/>
          </w:tcPr>
          <w:p w14:paraId="3FA4219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52,44%</w:t>
            </w:r>
          </w:p>
        </w:tc>
        <w:tc>
          <w:tcPr>
            <w:tcW w:w="1240" w:type="dxa"/>
            <w:tcBorders>
              <w:top w:val="nil"/>
              <w:left w:val="nil"/>
              <w:bottom w:val="single" w:sz="8" w:space="0" w:color="93D07C"/>
              <w:right w:val="single" w:sz="8" w:space="0" w:color="93D07C"/>
            </w:tcBorders>
            <w:shd w:val="clear" w:color="000000" w:fill="92D050"/>
            <w:vAlign w:val="center"/>
            <w:hideMark/>
          </w:tcPr>
          <w:p w14:paraId="16A8C49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30,18%</w:t>
            </w:r>
          </w:p>
        </w:tc>
        <w:tc>
          <w:tcPr>
            <w:tcW w:w="1240" w:type="dxa"/>
            <w:tcBorders>
              <w:top w:val="nil"/>
              <w:left w:val="nil"/>
              <w:bottom w:val="single" w:sz="8" w:space="0" w:color="93D07C"/>
              <w:right w:val="single" w:sz="8" w:space="0" w:color="93D07C"/>
            </w:tcBorders>
            <w:shd w:val="clear" w:color="000000" w:fill="FF0000"/>
            <w:vAlign w:val="center"/>
            <w:hideMark/>
          </w:tcPr>
          <w:p w14:paraId="638BAE6C"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660,43</w:t>
            </w:r>
          </w:p>
        </w:tc>
      </w:tr>
      <w:tr w:rsidR="00165EF5" w:rsidRPr="00165EF5" w14:paraId="2A1D93E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6240DD77"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Cesan</w:t>
            </w:r>
          </w:p>
        </w:tc>
        <w:tc>
          <w:tcPr>
            <w:tcW w:w="1240" w:type="dxa"/>
            <w:tcBorders>
              <w:top w:val="nil"/>
              <w:left w:val="nil"/>
              <w:bottom w:val="single" w:sz="8" w:space="0" w:color="93D07C"/>
              <w:right w:val="single" w:sz="8" w:space="0" w:color="93D07C"/>
            </w:tcBorders>
            <w:shd w:val="clear" w:color="000000" w:fill="92D050"/>
            <w:vAlign w:val="center"/>
            <w:hideMark/>
          </w:tcPr>
          <w:p w14:paraId="6D7CF91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839,96</w:t>
            </w:r>
          </w:p>
        </w:tc>
        <w:tc>
          <w:tcPr>
            <w:tcW w:w="1240" w:type="dxa"/>
            <w:tcBorders>
              <w:top w:val="nil"/>
              <w:left w:val="nil"/>
              <w:bottom w:val="single" w:sz="8" w:space="0" w:color="93D07C"/>
              <w:right w:val="single" w:sz="8" w:space="0" w:color="93D07C"/>
            </w:tcBorders>
            <w:shd w:val="clear" w:color="000000" w:fill="FFFF00"/>
            <w:vAlign w:val="center"/>
            <w:hideMark/>
          </w:tcPr>
          <w:p w14:paraId="6E6DE5D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470,02</w:t>
            </w:r>
          </w:p>
        </w:tc>
        <w:tc>
          <w:tcPr>
            <w:tcW w:w="1240" w:type="dxa"/>
            <w:tcBorders>
              <w:top w:val="nil"/>
              <w:left w:val="nil"/>
              <w:bottom w:val="single" w:sz="8" w:space="0" w:color="93D07C"/>
              <w:right w:val="single" w:sz="8" w:space="0" w:color="93D07C"/>
            </w:tcBorders>
            <w:shd w:val="clear" w:color="000000" w:fill="92D050"/>
            <w:vAlign w:val="center"/>
            <w:hideMark/>
          </w:tcPr>
          <w:p w14:paraId="091833C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2,00 </w:t>
            </w:r>
          </w:p>
        </w:tc>
        <w:tc>
          <w:tcPr>
            <w:tcW w:w="1240" w:type="dxa"/>
            <w:tcBorders>
              <w:top w:val="nil"/>
              <w:left w:val="nil"/>
              <w:bottom w:val="single" w:sz="8" w:space="0" w:color="93D07C"/>
              <w:right w:val="single" w:sz="8" w:space="0" w:color="93D07C"/>
            </w:tcBorders>
            <w:shd w:val="clear" w:color="000000" w:fill="92D050"/>
            <w:vAlign w:val="center"/>
            <w:hideMark/>
          </w:tcPr>
          <w:p w14:paraId="0086B00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21,67%</w:t>
            </w:r>
          </w:p>
        </w:tc>
        <w:tc>
          <w:tcPr>
            <w:tcW w:w="1240" w:type="dxa"/>
            <w:tcBorders>
              <w:top w:val="nil"/>
              <w:left w:val="nil"/>
              <w:bottom w:val="single" w:sz="8" w:space="0" w:color="93D07C"/>
              <w:right w:val="single" w:sz="8" w:space="0" w:color="93D07C"/>
            </w:tcBorders>
            <w:shd w:val="clear" w:color="000000" w:fill="92D050"/>
            <w:vAlign w:val="center"/>
            <w:hideMark/>
          </w:tcPr>
          <w:p w14:paraId="4A1B135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35,71%</w:t>
            </w:r>
          </w:p>
        </w:tc>
        <w:tc>
          <w:tcPr>
            <w:tcW w:w="1240" w:type="dxa"/>
            <w:tcBorders>
              <w:top w:val="nil"/>
              <w:left w:val="nil"/>
              <w:bottom w:val="single" w:sz="8" w:space="0" w:color="93D07C"/>
              <w:right w:val="single" w:sz="8" w:space="0" w:color="93D07C"/>
            </w:tcBorders>
            <w:shd w:val="clear" w:color="000000" w:fill="FFFF00"/>
            <w:vAlign w:val="center"/>
            <w:hideMark/>
          </w:tcPr>
          <w:p w14:paraId="0BC1EFE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406,54</w:t>
            </w:r>
          </w:p>
        </w:tc>
      </w:tr>
      <w:tr w:rsidR="00165EF5" w:rsidRPr="00165EF5" w14:paraId="5BB846C3"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4BBF47ED"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Compesa</w:t>
            </w:r>
          </w:p>
        </w:tc>
        <w:tc>
          <w:tcPr>
            <w:tcW w:w="1240" w:type="dxa"/>
            <w:tcBorders>
              <w:top w:val="nil"/>
              <w:left w:val="nil"/>
              <w:bottom w:val="single" w:sz="8" w:space="0" w:color="93D07C"/>
              <w:right w:val="single" w:sz="8" w:space="0" w:color="93D07C"/>
            </w:tcBorders>
            <w:shd w:val="clear" w:color="000000" w:fill="92D050"/>
            <w:vAlign w:val="center"/>
            <w:hideMark/>
          </w:tcPr>
          <w:p w14:paraId="04372E7C"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770,34</w:t>
            </w:r>
          </w:p>
        </w:tc>
        <w:tc>
          <w:tcPr>
            <w:tcW w:w="1240" w:type="dxa"/>
            <w:tcBorders>
              <w:top w:val="nil"/>
              <w:left w:val="nil"/>
              <w:bottom w:val="single" w:sz="8" w:space="0" w:color="93D07C"/>
              <w:right w:val="single" w:sz="8" w:space="0" w:color="93D07C"/>
            </w:tcBorders>
            <w:shd w:val="clear" w:color="000000" w:fill="FFFF00"/>
            <w:vAlign w:val="center"/>
            <w:hideMark/>
          </w:tcPr>
          <w:p w14:paraId="53FF074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349,97</w:t>
            </w:r>
          </w:p>
        </w:tc>
        <w:tc>
          <w:tcPr>
            <w:tcW w:w="1240" w:type="dxa"/>
            <w:tcBorders>
              <w:top w:val="nil"/>
              <w:left w:val="nil"/>
              <w:bottom w:val="single" w:sz="8" w:space="0" w:color="93D07C"/>
              <w:right w:val="single" w:sz="8" w:space="0" w:color="93D07C"/>
            </w:tcBorders>
            <w:shd w:val="clear" w:color="000000" w:fill="FFFF00"/>
            <w:vAlign w:val="center"/>
            <w:hideMark/>
          </w:tcPr>
          <w:p w14:paraId="79C77D3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2,68 </w:t>
            </w:r>
          </w:p>
        </w:tc>
        <w:tc>
          <w:tcPr>
            <w:tcW w:w="1240" w:type="dxa"/>
            <w:tcBorders>
              <w:top w:val="nil"/>
              <w:left w:val="nil"/>
              <w:bottom w:val="single" w:sz="8" w:space="0" w:color="93D07C"/>
              <w:right w:val="single" w:sz="8" w:space="0" w:color="93D07C"/>
            </w:tcBorders>
            <w:shd w:val="clear" w:color="000000" w:fill="FFFF00"/>
            <w:vAlign w:val="center"/>
            <w:hideMark/>
          </w:tcPr>
          <w:p w14:paraId="751BB74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34,65%</w:t>
            </w:r>
          </w:p>
        </w:tc>
        <w:tc>
          <w:tcPr>
            <w:tcW w:w="1240" w:type="dxa"/>
            <w:tcBorders>
              <w:top w:val="nil"/>
              <w:left w:val="nil"/>
              <w:bottom w:val="single" w:sz="8" w:space="0" w:color="93D07C"/>
              <w:right w:val="single" w:sz="8" w:space="0" w:color="93D07C"/>
            </w:tcBorders>
            <w:shd w:val="clear" w:color="000000" w:fill="FF0000"/>
            <w:vAlign w:val="center"/>
            <w:hideMark/>
          </w:tcPr>
          <w:p w14:paraId="43538C1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50,97%</w:t>
            </w:r>
          </w:p>
        </w:tc>
        <w:tc>
          <w:tcPr>
            <w:tcW w:w="1240" w:type="dxa"/>
            <w:tcBorders>
              <w:top w:val="nil"/>
              <w:left w:val="nil"/>
              <w:bottom w:val="single" w:sz="8" w:space="0" w:color="93D07C"/>
              <w:right w:val="single" w:sz="8" w:space="0" w:color="93D07C"/>
            </w:tcBorders>
            <w:shd w:val="clear" w:color="000000" w:fill="FFFF00"/>
            <w:vAlign w:val="center"/>
            <w:hideMark/>
          </w:tcPr>
          <w:p w14:paraId="7732321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381,88</w:t>
            </w:r>
          </w:p>
        </w:tc>
      </w:tr>
      <w:tr w:rsidR="00165EF5" w:rsidRPr="00165EF5" w14:paraId="2CDAD7BB"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477F9FD9"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Copasa</w:t>
            </w:r>
          </w:p>
        </w:tc>
        <w:tc>
          <w:tcPr>
            <w:tcW w:w="1240" w:type="dxa"/>
            <w:tcBorders>
              <w:top w:val="nil"/>
              <w:left w:val="nil"/>
              <w:bottom w:val="single" w:sz="8" w:space="0" w:color="93D07C"/>
              <w:right w:val="single" w:sz="8" w:space="0" w:color="93D07C"/>
            </w:tcBorders>
            <w:shd w:val="clear" w:color="000000" w:fill="FFFF00"/>
            <w:vAlign w:val="center"/>
            <w:hideMark/>
          </w:tcPr>
          <w:p w14:paraId="06242F1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662,6</w:t>
            </w:r>
          </w:p>
        </w:tc>
        <w:tc>
          <w:tcPr>
            <w:tcW w:w="1240" w:type="dxa"/>
            <w:tcBorders>
              <w:top w:val="nil"/>
              <w:left w:val="nil"/>
              <w:bottom w:val="single" w:sz="8" w:space="0" w:color="93D07C"/>
              <w:right w:val="single" w:sz="8" w:space="0" w:color="93D07C"/>
            </w:tcBorders>
            <w:shd w:val="clear" w:color="000000" w:fill="92D050"/>
            <w:vAlign w:val="center"/>
            <w:hideMark/>
          </w:tcPr>
          <w:p w14:paraId="352F1E0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534,16</w:t>
            </w:r>
          </w:p>
        </w:tc>
        <w:tc>
          <w:tcPr>
            <w:tcW w:w="1240" w:type="dxa"/>
            <w:tcBorders>
              <w:top w:val="nil"/>
              <w:left w:val="nil"/>
              <w:bottom w:val="single" w:sz="8" w:space="0" w:color="93D07C"/>
              <w:right w:val="single" w:sz="8" w:space="0" w:color="93D07C"/>
            </w:tcBorders>
            <w:shd w:val="clear" w:color="000000" w:fill="92D050"/>
            <w:vAlign w:val="center"/>
            <w:hideMark/>
          </w:tcPr>
          <w:p w14:paraId="6B9F035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2,39 </w:t>
            </w:r>
          </w:p>
        </w:tc>
        <w:tc>
          <w:tcPr>
            <w:tcW w:w="1240" w:type="dxa"/>
            <w:tcBorders>
              <w:top w:val="nil"/>
              <w:left w:val="nil"/>
              <w:bottom w:val="single" w:sz="8" w:space="0" w:color="93D07C"/>
              <w:right w:val="single" w:sz="8" w:space="0" w:color="93D07C"/>
            </w:tcBorders>
            <w:shd w:val="clear" w:color="000000" w:fill="FFFF00"/>
            <w:vAlign w:val="center"/>
            <w:hideMark/>
          </w:tcPr>
          <w:p w14:paraId="4E50584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28,99%</w:t>
            </w:r>
          </w:p>
        </w:tc>
        <w:tc>
          <w:tcPr>
            <w:tcW w:w="1240" w:type="dxa"/>
            <w:tcBorders>
              <w:top w:val="nil"/>
              <w:left w:val="nil"/>
              <w:bottom w:val="single" w:sz="8" w:space="0" w:color="93D07C"/>
              <w:right w:val="single" w:sz="8" w:space="0" w:color="93D07C"/>
            </w:tcBorders>
            <w:shd w:val="clear" w:color="000000" w:fill="92D050"/>
            <w:vAlign w:val="center"/>
            <w:hideMark/>
          </w:tcPr>
          <w:p w14:paraId="7B56973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35,18%</w:t>
            </w:r>
          </w:p>
        </w:tc>
        <w:tc>
          <w:tcPr>
            <w:tcW w:w="1240" w:type="dxa"/>
            <w:tcBorders>
              <w:top w:val="nil"/>
              <w:left w:val="nil"/>
              <w:bottom w:val="single" w:sz="8" w:space="0" w:color="93D07C"/>
              <w:right w:val="single" w:sz="8" w:space="0" w:color="93D07C"/>
            </w:tcBorders>
            <w:shd w:val="clear" w:color="000000" w:fill="92D050"/>
            <w:vAlign w:val="center"/>
            <w:hideMark/>
          </w:tcPr>
          <w:p w14:paraId="43F5195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214,08</w:t>
            </w:r>
          </w:p>
        </w:tc>
      </w:tr>
      <w:tr w:rsidR="00165EF5" w:rsidRPr="00165EF5" w14:paraId="12362E16"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6292FDB1"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Corsan</w:t>
            </w:r>
          </w:p>
        </w:tc>
        <w:tc>
          <w:tcPr>
            <w:tcW w:w="1240" w:type="dxa"/>
            <w:tcBorders>
              <w:top w:val="nil"/>
              <w:left w:val="nil"/>
              <w:bottom w:val="single" w:sz="8" w:space="0" w:color="93D07C"/>
              <w:right w:val="single" w:sz="8" w:space="0" w:color="93D07C"/>
            </w:tcBorders>
            <w:shd w:val="clear" w:color="000000" w:fill="FFFF00"/>
            <w:vAlign w:val="center"/>
            <w:hideMark/>
          </w:tcPr>
          <w:p w14:paraId="3C1B6A8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505,8</w:t>
            </w:r>
          </w:p>
        </w:tc>
        <w:tc>
          <w:tcPr>
            <w:tcW w:w="1240" w:type="dxa"/>
            <w:tcBorders>
              <w:top w:val="nil"/>
              <w:left w:val="nil"/>
              <w:bottom w:val="single" w:sz="8" w:space="0" w:color="93D07C"/>
              <w:right w:val="single" w:sz="8" w:space="0" w:color="93D07C"/>
            </w:tcBorders>
            <w:shd w:val="clear" w:color="000000" w:fill="FFFF00"/>
            <w:vAlign w:val="center"/>
            <w:hideMark/>
          </w:tcPr>
          <w:p w14:paraId="02D3C21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473,4</w:t>
            </w:r>
          </w:p>
        </w:tc>
        <w:tc>
          <w:tcPr>
            <w:tcW w:w="1240" w:type="dxa"/>
            <w:tcBorders>
              <w:top w:val="nil"/>
              <w:left w:val="nil"/>
              <w:bottom w:val="single" w:sz="8" w:space="0" w:color="93D07C"/>
              <w:right w:val="single" w:sz="8" w:space="0" w:color="93D07C"/>
            </w:tcBorders>
            <w:shd w:val="clear" w:color="000000" w:fill="FF0000"/>
            <w:vAlign w:val="center"/>
            <w:hideMark/>
          </w:tcPr>
          <w:p w14:paraId="10C9096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4,27 </w:t>
            </w:r>
          </w:p>
        </w:tc>
        <w:tc>
          <w:tcPr>
            <w:tcW w:w="1240" w:type="dxa"/>
            <w:tcBorders>
              <w:top w:val="nil"/>
              <w:left w:val="nil"/>
              <w:bottom w:val="single" w:sz="8" w:space="0" w:color="93D07C"/>
              <w:right w:val="single" w:sz="8" w:space="0" w:color="93D07C"/>
            </w:tcBorders>
            <w:shd w:val="clear" w:color="000000" w:fill="FFFF00"/>
            <w:vAlign w:val="center"/>
            <w:hideMark/>
          </w:tcPr>
          <w:p w14:paraId="0B7983B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38,62%</w:t>
            </w:r>
          </w:p>
        </w:tc>
        <w:tc>
          <w:tcPr>
            <w:tcW w:w="1240" w:type="dxa"/>
            <w:tcBorders>
              <w:top w:val="nil"/>
              <w:left w:val="nil"/>
              <w:bottom w:val="single" w:sz="8" w:space="0" w:color="93D07C"/>
              <w:right w:val="single" w:sz="8" w:space="0" w:color="93D07C"/>
            </w:tcBorders>
            <w:shd w:val="clear" w:color="000000" w:fill="92D050"/>
            <w:vAlign w:val="center"/>
            <w:hideMark/>
          </w:tcPr>
          <w:p w14:paraId="4FBFCEA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32,61%</w:t>
            </w:r>
          </w:p>
        </w:tc>
        <w:tc>
          <w:tcPr>
            <w:tcW w:w="1240" w:type="dxa"/>
            <w:tcBorders>
              <w:top w:val="nil"/>
              <w:left w:val="nil"/>
              <w:bottom w:val="single" w:sz="8" w:space="0" w:color="93D07C"/>
              <w:right w:val="single" w:sz="8" w:space="0" w:color="93D07C"/>
            </w:tcBorders>
            <w:shd w:val="clear" w:color="000000" w:fill="FFFF00"/>
            <w:vAlign w:val="center"/>
            <w:hideMark/>
          </w:tcPr>
          <w:p w14:paraId="0C6823E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286,03</w:t>
            </w:r>
          </w:p>
        </w:tc>
      </w:tr>
      <w:tr w:rsidR="00165EF5" w:rsidRPr="00165EF5" w14:paraId="60ED8A7A"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4392BB50"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165EF5">
              <w:rPr>
                <w:color w:val="000000"/>
                <w:sz w:val="22"/>
                <w:lang w:eastAsia="es-CO"/>
              </w:rPr>
              <w:t>Cosanpa</w:t>
            </w:r>
          </w:p>
        </w:tc>
        <w:tc>
          <w:tcPr>
            <w:tcW w:w="1240" w:type="dxa"/>
            <w:tcBorders>
              <w:top w:val="nil"/>
              <w:left w:val="nil"/>
              <w:bottom w:val="single" w:sz="8" w:space="0" w:color="93D07C"/>
              <w:right w:val="single" w:sz="8" w:space="0" w:color="93D07C"/>
            </w:tcBorders>
            <w:shd w:val="clear" w:color="000000" w:fill="FF0000"/>
            <w:vAlign w:val="center"/>
            <w:hideMark/>
          </w:tcPr>
          <w:p w14:paraId="6F28C42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405,27</w:t>
            </w:r>
          </w:p>
        </w:tc>
        <w:tc>
          <w:tcPr>
            <w:tcW w:w="1240" w:type="dxa"/>
            <w:tcBorders>
              <w:top w:val="nil"/>
              <w:left w:val="nil"/>
              <w:bottom w:val="single" w:sz="8" w:space="0" w:color="93D07C"/>
              <w:right w:val="single" w:sz="8" w:space="0" w:color="93D07C"/>
            </w:tcBorders>
            <w:shd w:val="clear" w:color="000000" w:fill="FF0000"/>
            <w:vAlign w:val="center"/>
            <w:hideMark/>
          </w:tcPr>
          <w:p w14:paraId="09FAE39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306,98 </w:t>
            </w:r>
          </w:p>
        </w:tc>
        <w:tc>
          <w:tcPr>
            <w:tcW w:w="1240" w:type="dxa"/>
            <w:tcBorders>
              <w:top w:val="nil"/>
              <w:left w:val="nil"/>
              <w:bottom w:val="single" w:sz="8" w:space="0" w:color="93D07C"/>
              <w:right w:val="single" w:sz="8" w:space="0" w:color="93D07C"/>
            </w:tcBorders>
            <w:shd w:val="clear" w:color="000000" w:fill="FFFF00"/>
            <w:vAlign w:val="center"/>
            <w:hideMark/>
          </w:tcPr>
          <w:p w14:paraId="78F8F6D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2,73 </w:t>
            </w:r>
          </w:p>
        </w:tc>
        <w:tc>
          <w:tcPr>
            <w:tcW w:w="1240" w:type="dxa"/>
            <w:tcBorders>
              <w:top w:val="nil"/>
              <w:left w:val="nil"/>
              <w:bottom w:val="single" w:sz="8" w:space="0" w:color="93D07C"/>
              <w:right w:val="single" w:sz="8" w:space="0" w:color="93D07C"/>
            </w:tcBorders>
            <w:shd w:val="clear" w:color="000000" w:fill="FFFF00"/>
            <w:vAlign w:val="center"/>
            <w:hideMark/>
          </w:tcPr>
          <w:p w14:paraId="02223C5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42,32%</w:t>
            </w:r>
          </w:p>
        </w:tc>
        <w:tc>
          <w:tcPr>
            <w:tcW w:w="1240" w:type="dxa"/>
            <w:tcBorders>
              <w:top w:val="nil"/>
              <w:left w:val="nil"/>
              <w:bottom w:val="single" w:sz="8" w:space="0" w:color="93D07C"/>
              <w:right w:val="single" w:sz="8" w:space="0" w:color="93D07C"/>
            </w:tcBorders>
            <w:shd w:val="clear" w:color="000000" w:fill="FFFF00"/>
            <w:vAlign w:val="center"/>
            <w:hideMark/>
          </w:tcPr>
          <w:p w14:paraId="7670E1D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42,55%</w:t>
            </w:r>
          </w:p>
        </w:tc>
        <w:tc>
          <w:tcPr>
            <w:tcW w:w="1240" w:type="dxa"/>
            <w:tcBorders>
              <w:top w:val="nil"/>
              <w:left w:val="nil"/>
              <w:bottom w:val="single" w:sz="8" w:space="0" w:color="93D07C"/>
              <w:right w:val="single" w:sz="8" w:space="0" w:color="93D07C"/>
            </w:tcBorders>
            <w:shd w:val="clear" w:color="000000" w:fill="FF0000"/>
            <w:vAlign w:val="center"/>
            <w:hideMark/>
          </w:tcPr>
          <w:p w14:paraId="6394DCF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460,78</w:t>
            </w:r>
          </w:p>
        </w:tc>
      </w:tr>
      <w:tr w:rsidR="00165EF5" w:rsidRPr="00165EF5" w14:paraId="25DFE77A"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13E6649B"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Depasa</w:t>
            </w:r>
          </w:p>
        </w:tc>
        <w:tc>
          <w:tcPr>
            <w:tcW w:w="1240" w:type="dxa"/>
            <w:tcBorders>
              <w:top w:val="nil"/>
              <w:left w:val="nil"/>
              <w:bottom w:val="single" w:sz="8" w:space="0" w:color="93D07C"/>
              <w:right w:val="single" w:sz="8" w:space="0" w:color="93D07C"/>
            </w:tcBorders>
            <w:shd w:val="clear" w:color="000000" w:fill="FF0000"/>
            <w:vAlign w:val="center"/>
            <w:hideMark/>
          </w:tcPr>
          <w:p w14:paraId="08AE529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383,14</w:t>
            </w:r>
          </w:p>
        </w:tc>
        <w:tc>
          <w:tcPr>
            <w:tcW w:w="1240" w:type="dxa"/>
            <w:tcBorders>
              <w:top w:val="nil"/>
              <w:left w:val="nil"/>
              <w:bottom w:val="single" w:sz="8" w:space="0" w:color="93D07C"/>
              <w:right w:val="single" w:sz="8" w:space="0" w:color="93D07C"/>
            </w:tcBorders>
            <w:shd w:val="clear" w:color="000000" w:fill="FF0000"/>
            <w:vAlign w:val="center"/>
            <w:hideMark/>
          </w:tcPr>
          <w:p w14:paraId="22A270B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304,61</w:t>
            </w:r>
          </w:p>
        </w:tc>
        <w:tc>
          <w:tcPr>
            <w:tcW w:w="1240" w:type="dxa"/>
            <w:tcBorders>
              <w:top w:val="nil"/>
              <w:left w:val="nil"/>
              <w:bottom w:val="single" w:sz="8" w:space="0" w:color="93D07C"/>
              <w:right w:val="single" w:sz="8" w:space="0" w:color="93D07C"/>
            </w:tcBorders>
            <w:shd w:val="clear" w:color="000000" w:fill="92D050"/>
            <w:vAlign w:val="center"/>
            <w:hideMark/>
          </w:tcPr>
          <w:p w14:paraId="4CCB403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w:t>
            </w:r>
            <w:r w:rsidRPr="00ED1D45">
              <w:rPr>
                <w:color w:val="000000"/>
                <w:sz w:val="22"/>
                <w:lang w:eastAsia="es-CO"/>
              </w:rPr>
              <w:t xml:space="preserve">      2,02 </w:t>
            </w:r>
          </w:p>
        </w:tc>
        <w:tc>
          <w:tcPr>
            <w:tcW w:w="1240" w:type="dxa"/>
            <w:tcBorders>
              <w:top w:val="nil"/>
              <w:left w:val="nil"/>
              <w:bottom w:val="single" w:sz="8" w:space="0" w:color="93D07C"/>
              <w:right w:val="single" w:sz="8" w:space="0" w:color="93D07C"/>
            </w:tcBorders>
            <w:shd w:val="clear" w:color="000000" w:fill="FF0000"/>
            <w:vAlign w:val="center"/>
            <w:hideMark/>
          </w:tcPr>
          <w:p w14:paraId="2C6AB9F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56,67%</w:t>
            </w:r>
          </w:p>
        </w:tc>
        <w:tc>
          <w:tcPr>
            <w:tcW w:w="1240" w:type="dxa"/>
            <w:tcBorders>
              <w:top w:val="nil"/>
              <w:left w:val="nil"/>
              <w:bottom w:val="single" w:sz="8" w:space="0" w:color="93D07C"/>
              <w:right w:val="single" w:sz="8" w:space="0" w:color="93D07C"/>
            </w:tcBorders>
            <w:shd w:val="clear" w:color="000000" w:fill="FF0000"/>
            <w:vAlign w:val="center"/>
            <w:hideMark/>
          </w:tcPr>
          <w:p w14:paraId="156C5574"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56,67%</w:t>
            </w:r>
          </w:p>
        </w:tc>
        <w:tc>
          <w:tcPr>
            <w:tcW w:w="1240" w:type="dxa"/>
            <w:tcBorders>
              <w:top w:val="nil"/>
              <w:left w:val="nil"/>
              <w:bottom w:val="single" w:sz="8" w:space="0" w:color="93D07C"/>
              <w:right w:val="single" w:sz="8" w:space="0" w:color="93D07C"/>
            </w:tcBorders>
            <w:shd w:val="clear" w:color="000000" w:fill="FF0000"/>
            <w:vAlign w:val="center"/>
            <w:hideMark/>
          </w:tcPr>
          <w:p w14:paraId="7817032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847,94</w:t>
            </w:r>
          </w:p>
        </w:tc>
      </w:tr>
      <w:tr w:rsidR="00165EF5" w:rsidRPr="00165EF5" w14:paraId="671F7782"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19BFE8BF"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lastRenderedPageBreak/>
              <w:t>Deso</w:t>
            </w:r>
          </w:p>
        </w:tc>
        <w:tc>
          <w:tcPr>
            <w:tcW w:w="1240" w:type="dxa"/>
            <w:tcBorders>
              <w:top w:val="nil"/>
              <w:left w:val="nil"/>
              <w:bottom w:val="single" w:sz="8" w:space="0" w:color="93D07C"/>
              <w:right w:val="single" w:sz="8" w:space="0" w:color="93D07C"/>
            </w:tcBorders>
            <w:shd w:val="clear" w:color="000000" w:fill="FFFF00"/>
            <w:vAlign w:val="center"/>
            <w:hideMark/>
          </w:tcPr>
          <w:p w14:paraId="7250AE6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467,2</w:t>
            </w:r>
          </w:p>
        </w:tc>
        <w:tc>
          <w:tcPr>
            <w:tcW w:w="1240" w:type="dxa"/>
            <w:tcBorders>
              <w:top w:val="nil"/>
              <w:left w:val="nil"/>
              <w:bottom w:val="single" w:sz="8" w:space="0" w:color="93D07C"/>
              <w:right w:val="single" w:sz="8" w:space="0" w:color="93D07C"/>
            </w:tcBorders>
            <w:shd w:val="clear" w:color="000000" w:fill="FFFF00"/>
            <w:vAlign w:val="center"/>
            <w:hideMark/>
          </w:tcPr>
          <w:p w14:paraId="1C40203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326,52</w:t>
            </w:r>
          </w:p>
        </w:tc>
        <w:tc>
          <w:tcPr>
            <w:tcW w:w="1240" w:type="dxa"/>
            <w:tcBorders>
              <w:top w:val="nil"/>
              <w:left w:val="nil"/>
              <w:bottom w:val="single" w:sz="8" w:space="0" w:color="93D07C"/>
              <w:right w:val="single" w:sz="8" w:space="0" w:color="93D07C"/>
            </w:tcBorders>
            <w:shd w:val="clear" w:color="000000" w:fill="FF0000"/>
            <w:vAlign w:val="center"/>
            <w:hideMark/>
          </w:tcPr>
          <w:p w14:paraId="632042E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3,20 </w:t>
            </w:r>
          </w:p>
        </w:tc>
        <w:tc>
          <w:tcPr>
            <w:tcW w:w="1240" w:type="dxa"/>
            <w:tcBorders>
              <w:top w:val="nil"/>
              <w:left w:val="nil"/>
              <w:bottom w:val="single" w:sz="8" w:space="0" w:color="93D07C"/>
              <w:right w:val="single" w:sz="8" w:space="0" w:color="93D07C"/>
            </w:tcBorders>
            <w:shd w:val="clear" w:color="000000" w:fill="FF0000"/>
            <w:vAlign w:val="center"/>
            <w:hideMark/>
          </w:tcPr>
          <w:p w14:paraId="67B48EB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43,06%</w:t>
            </w:r>
          </w:p>
        </w:tc>
        <w:tc>
          <w:tcPr>
            <w:tcW w:w="1240" w:type="dxa"/>
            <w:tcBorders>
              <w:top w:val="nil"/>
              <w:left w:val="nil"/>
              <w:bottom w:val="single" w:sz="8" w:space="0" w:color="93D07C"/>
              <w:right w:val="single" w:sz="8" w:space="0" w:color="93D07C"/>
            </w:tcBorders>
            <w:shd w:val="clear" w:color="000000" w:fill="FF0000"/>
            <w:vAlign w:val="center"/>
            <w:hideMark/>
          </w:tcPr>
          <w:p w14:paraId="14D3A55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53,08%</w:t>
            </w:r>
          </w:p>
        </w:tc>
        <w:tc>
          <w:tcPr>
            <w:tcW w:w="1240" w:type="dxa"/>
            <w:tcBorders>
              <w:top w:val="nil"/>
              <w:left w:val="nil"/>
              <w:bottom w:val="single" w:sz="8" w:space="0" w:color="93D07C"/>
              <w:right w:val="single" w:sz="8" w:space="0" w:color="93D07C"/>
            </w:tcBorders>
            <w:shd w:val="clear" w:color="000000" w:fill="FFFF00"/>
            <w:vAlign w:val="center"/>
            <w:hideMark/>
          </w:tcPr>
          <w:p w14:paraId="167A2664"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445,14</w:t>
            </w:r>
          </w:p>
        </w:tc>
      </w:tr>
      <w:tr w:rsidR="00165EF5" w:rsidRPr="00165EF5" w14:paraId="0B214BF7"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3D38A45F"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Embasa</w:t>
            </w:r>
          </w:p>
        </w:tc>
        <w:tc>
          <w:tcPr>
            <w:tcW w:w="1240" w:type="dxa"/>
            <w:tcBorders>
              <w:top w:val="nil"/>
              <w:left w:val="nil"/>
              <w:bottom w:val="single" w:sz="8" w:space="0" w:color="93D07C"/>
              <w:right w:val="single" w:sz="8" w:space="0" w:color="93D07C"/>
            </w:tcBorders>
            <w:shd w:val="clear" w:color="000000" w:fill="92D050"/>
            <w:vAlign w:val="center"/>
            <w:hideMark/>
          </w:tcPr>
          <w:p w14:paraId="4106AAC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1.067,91</w:t>
            </w:r>
          </w:p>
        </w:tc>
        <w:tc>
          <w:tcPr>
            <w:tcW w:w="1240" w:type="dxa"/>
            <w:tcBorders>
              <w:top w:val="nil"/>
              <w:left w:val="nil"/>
              <w:bottom w:val="single" w:sz="8" w:space="0" w:color="93D07C"/>
              <w:right w:val="single" w:sz="8" w:space="0" w:color="93D07C"/>
            </w:tcBorders>
            <w:shd w:val="clear" w:color="000000" w:fill="92D050"/>
            <w:vAlign w:val="center"/>
            <w:hideMark/>
          </w:tcPr>
          <w:p w14:paraId="37D34F98"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528,06</w:t>
            </w:r>
          </w:p>
        </w:tc>
        <w:tc>
          <w:tcPr>
            <w:tcW w:w="1240" w:type="dxa"/>
            <w:tcBorders>
              <w:top w:val="nil"/>
              <w:left w:val="nil"/>
              <w:bottom w:val="single" w:sz="8" w:space="0" w:color="93D07C"/>
              <w:right w:val="single" w:sz="8" w:space="0" w:color="93D07C"/>
            </w:tcBorders>
            <w:shd w:val="clear" w:color="000000" w:fill="FFFF00"/>
            <w:vAlign w:val="center"/>
            <w:hideMark/>
          </w:tcPr>
          <w:p w14:paraId="40A13AE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2,67 </w:t>
            </w:r>
          </w:p>
        </w:tc>
        <w:tc>
          <w:tcPr>
            <w:tcW w:w="1240" w:type="dxa"/>
            <w:tcBorders>
              <w:top w:val="nil"/>
              <w:left w:val="nil"/>
              <w:bottom w:val="single" w:sz="8" w:space="0" w:color="93D07C"/>
              <w:right w:val="single" w:sz="8" w:space="0" w:color="93D07C"/>
            </w:tcBorders>
            <w:shd w:val="clear" w:color="000000" w:fill="FFFF00"/>
            <w:vAlign w:val="center"/>
            <w:hideMark/>
          </w:tcPr>
          <w:p w14:paraId="045CC094"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34,95%</w:t>
            </w:r>
          </w:p>
        </w:tc>
        <w:tc>
          <w:tcPr>
            <w:tcW w:w="1240" w:type="dxa"/>
            <w:tcBorders>
              <w:top w:val="nil"/>
              <w:left w:val="nil"/>
              <w:bottom w:val="single" w:sz="8" w:space="0" w:color="93D07C"/>
              <w:right w:val="single" w:sz="8" w:space="0" w:color="93D07C"/>
            </w:tcBorders>
            <w:shd w:val="clear" w:color="000000" w:fill="FFFF00"/>
            <w:vAlign w:val="center"/>
            <w:hideMark/>
          </w:tcPr>
          <w:p w14:paraId="7554A46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38,51%</w:t>
            </w:r>
          </w:p>
        </w:tc>
        <w:tc>
          <w:tcPr>
            <w:tcW w:w="1240" w:type="dxa"/>
            <w:tcBorders>
              <w:top w:val="nil"/>
              <w:left w:val="nil"/>
              <w:bottom w:val="single" w:sz="8" w:space="0" w:color="93D07C"/>
              <w:right w:val="single" w:sz="8" w:space="0" w:color="93D07C"/>
            </w:tcBorders>
            <w:shd w:val="clear" w:color="000000" w:fill="92D050"/>
            <w:vAlign w:val="center"/>
            <w:hideMark/>
          </w:tcPr>
          <w:p w14:paraId="4B3353C3"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264,57</w:t>
            </w:r>
          </w:p>
        </w:tc>
      </w:tr>
      <w:tr w:rsidR="00165EF5" w:rsidRPr="00165EF5" w14:paraId="4EA6C165"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176BFA54"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Sabesp</w:t>
            </w:r>
          </w:p>
        </w:tc>
        <w:tc>
          <w:tcPr>
            <w:tcW w:w="1240" w:type="dxa"/>
            <w:tcBorders>
              <w:top w:val="nil"/>
              <w:left w:val="nil"/>
              <w:bottom w:val="single" w:sz="8" w:space="0" w:color="93D07C"/>
              <w:right w:val="single" w:sz="8" w:space="0" w:color="93D07C"/>
            </w:tcBorders>
            <w:shd w:val="clear" w:color="000000" w:fill="92D050"/>
            <w:vAlign w:val="center"/>
            <w:hideMark/>
          </w:tcPr>
          <w:p w14:paraId="246F39D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1.327,20</w:t>
            </w:r>
          </w:p>
        </w:tc>
        <w:tc>
          <w:tcPr>
            <w:tcW w:w="1240" w:type="dxa"/>
            <w:tcBorders>
              <w:top w:val="nil"/>
              <w:left w:val="nil"/>
              <w:bottom w:val="single" w:sz="8" w:space="0" w:color="93D07C"/>
              <w:right w:val="single" w:sz="8" w:space="0" w:color="93D07C"/>
            </w:tcBorders>
            <w:shd w:val="clear" w:color="000000" w:fill="92D050"/>
            <w:vAlign w:val="center"/>
            <w:hideMark/>
          </w:tcPr>
          <w:p w14:paraId="5A09BD7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885,77</w:t>
            </w:r>
          </w:p>
        </w:tc>
        <w:tc>
          <w:tcPr>
            <w:tcW w:w="1240" w:type="dxa"/>
            <w:tcBorders>
              <w:top w:val="nil"/>
              <w:left w:val="nil"/>
              <w:bottom w:val="single" w:sz="8" w:space="0" w:color="93D07C"/>
              <w:right w:val="single" w:sz="8" w:space="0" w:color="93D07C"/>
            </w:tcBorders>
            <w:shd w:val="clear" w:color="000000" w:fill="92D050"/>
            <w:vAlign w:val="center"/>
            <w:hideMark/>
          </w:tcPr>
          <w:p w14:paraId="42B6ADC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1,49 </w:t>
            </w:r>
          </w:p>
        </w:tc>
        <w:tc>
          <w:tcPr>
            <w:tcW w:w="1240" w:type="dxa"/>
            <w:tcBorders>
              <w:top w:val="nil"/>
              <w:left w:val="nil"/>
              <w:bottom w:val="single" w:sz="8" w:space="0" w:color="93D07C"/>
              <w:right w:val="single" w:sz="8" w:space="0" w:color="93D07C"/>
            </w:tcBorders>
            <w:shd w:val="clear" w:color="000000" w:fill="92D050"/>
            <w:vAlign w:val="center"/>
            <w:hideMark/>
          </w:tcPr>
          <w:p w14:paraId="7535E84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17,49%</w:t>
            </w:r>
          </w:p>
        </w:tc>
        <w:tc>
          <w:tcPr>
            <w:tcW w:w="1240" w:type="dxa"/>
            <w:tcBorders>
              <w:top w:val="nil"/>
              <w:left w:val="nil"/>
              <w:bottom w:val="single" w:sz="8" w:space="0" w:color="93D07C"/>
              <w:right w:val="single" w:sz="8" w:space="0" w:color="93D07C"/>
            </w:tcBorders>
            <w:shd w:val="clear" w:color="000000" w:fill="92D050"/>
            <w:vAlign w:val="center"/>
            <w:hideMark/>
          </w:tcPr>
          <w:p w14:paraId="301C2FED"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30,46%</w:t>
            </w:r>
          </w:p>
        </w:tc>
        <w:tc>
          <w:tcPr>
            <w:tcW w:w="1240" w:type="dxa"/>
            <w:tcBorders>
              <w:top w:val="nil"/>
              <w:left w:val="nil"/>
              <w:bottom w:val="single" w:sz="8" w:space="0" w:color="93D07C"/>
              <w:right w:val="single" w:sz="8" w:space="0" w:color="93D07C"/>
            </w:tcBorders>
            <w:shd w:val="clear" w:color="000000" w:fill="92D050"/>
            <w:vAlign w:val="center"/>
            <w:hideMark/>
          </w:tcPr>
          <w:p w14:paraId="44676BF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257,18</w:t>
            </w:r>
          </w:p>
        </w:tc>
      </w:tr>
      <w:tr w:rsidR="00165EF5" w:rsidRPr="00165EF5" w14:paraId="5A13AF9C"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6E561C86"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Saneago</w:t>
            </w:r>
          </w:p>
        </w:tc>
        <w:tc>
          <w:tcPr>
            <w:tcW w:w="1240" w:type="dxa"/>
            <w:tcBorders>
              <w:top w:val="nil"/>
              <w:left w:val="nil"/>
              <w:bottom w:val="single" w:sz="8" w:space="0" w:color="93D07C"/>
              <w:right w:val="single" w:sz="8" w:space="0" w:color="93D07C"/>
            </w:tcBorders>
            <w:shd w:val="clear" w:color="000000" w:fill="FFFF00"/>
            <w:vAlign w:val="center"/>
            <w:hideMark/>
          </w:tcPr>
          <w:p w14:paraId="789142E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596,58</w:t>
            </w:r>
          </w:p>
        </w:tc>
        <w:tc>
          <w:tcPr>
            <w:tcW w:w="1240" w:type="dxa"/>
            <w:tcBorders>
              <w:top w:val="nil"/>
              <w:left w:val="nil"/>
              <w:bottom w:val="single" w:sz="8" w:space="0" w:color="93D07C"/>
              <w:right w:val="single" w:sz="8" w:space="0" w:color="93D07C"/>
            </w:tcBorders>
            <w:shd w:val="clear" w:color="000000" w:fill="92D050"/>
            <w:vAlign w:val="center"/>
            <w:hideMark/>
          </w:tcPr>
          <w:p w14:paraId="77C08C6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486,58</w:t>
            </w:r>
          </w:p>
        </w:tc>
        <w:tc>
          <w:tcPr>
            <w:tcW w:w="1240" w:type="dxa"/>
            <w:tcBorders>
              <w:top w:val="nil"/>
              <w:left w:val="nil"/>
              <w:bottom w:val="single" w:sz="8" w:space="0" w:color="93D07C"/>
              <w:right w:val="single" w:sz="8" w:space="0" w:color="93D07C"/>
            </w:tcBorders>
            <w:shd w:val="clear" w:color="000000" w:fill="FF0000"/>
            <w:vAlign w:val="center"/>
            <w:hideMark/>
          </w:tcPr>
          <w:p w14:paraId="30D8432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3,31 </w:t>
            </w:r>
          </w:p>
        </w:tc>
        <w:tc>
          <w:tcPr>
            <w:tcW w:w="1240" w:type="dxa"/>
            <w:tcBorders>
              <w:top w:val="nil"/>
              <w:left w:val="nil"/>
              <w:bottom w:val="single" w:sz="8" w:space="0" w:color="93D07C"/>
              <w:right w:val="single" w:sz="8" w:space="0" w:color="93D07C"/>
            </w:tcBorders>
            <w:shd w:val="clear" w:color="000000" w:fill="FFFF00"/>
            <w:vAlign w:val="center"/>
            <w:hideMark/>
          </w:tcPr>
          <w:p w14:paraId="73963937"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34,28%</w:t>
            </w:r>
          </w:p>
        </w:tc>
        <w:tc>
          <w:tcPr>
            <w:tcW w:w="1240" w:type="dxa"/>
            <w:tcBorders>
              <w:top w:val="nil"/>
              <w:left w:val="nil"/>
              <w:bottom w:val="single" w:sz="8" w:space="0" w:color="93D07C"/>
              <w:right w:val="single" w:sz="8" w:space="0" w:color="93D07C"/>
            </w:tcBorders>
            <w:shd w:val="clear" w:color="000000" w:fill="92D050"/>
            <w:vAlign w:val="center"/>
            <w:hideMark/>
          </w:tcPr>
          <w:p w14:paraId="651DD65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29,</w:t>
            </w:r>
            <w:r w:rsidRPr="00ED1D45">
              <w:rPr>
                <w:color w:val="000000"/>
                <w:sz w:val="22"/>
                <w:lang w:eastAsia="es-CO"/>
              </w:rPr>
              <w:t>84%</w:t>
            </w:r>
          </w:p>
        </w:tc>
        <w:tc>
          <w:tcPr>
            <w:tcW w:w="1240" w:type="dxa"/>
            <w:tcBorders>
              <w:top w:val="nil"/>
              <w:left w:val="nil"/>
              <w:bottom w:val="single" w:sz="8" w:space="0" w:color="93D07C"/>
              <w:right w:val="single" w:sz="8" w:space="0" w:color="93D07C"/>
            </w:tcBorders>
            <w:shd w:val="clear" w:color="000000" w:fill="92D050"/>
            <w:vAlign w:val="center"/>
            <w:hideMark/>
          </w:tcPr>
          <w:p w14:paraId="44B475B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172,61</w:t>
            </w:r>
          </w:p>
        </w:tc>
      </w:tr>
      <w:tr w:rsidR="00165EF5" w:rsidRPr="00165EF5" w14:paraId="142863C7"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4044E93C"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EA348F">
              <w:rPr>
                <w:color w:val="000000"/>
                <w:sz w:val="22"/>
                <w:lang w:eastAsia="es-CO"/>
              </w:rPr>
              <w:t>Saneatins</w:t>
            </w:r>
          </w:p>
        </w:tc>
        <w:tc>
          <w:tcPr>
            <w:tcW w:w="1240" w:type="dxa"/>
            <w:tcBorders>
              <w:top w:val="nil"/>
              <w:left w:val="nil"/>
              <w:bottom w:val="single" w:sz="8" w:space="0" w:color="93D07C"/>
              <w:right w:val="single" w:sz="8" w:space="0" w:color="93D07C"/>
            </w:tcBorders>
            <w:shd w:val="clear" w:color="000000" w:fill="FF0000"/>
            <w:vAlign w:val="center"/>
            <w:hideMark/>
          </w:tcPr>
          <w:p w14:paraId="2EB47C6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EA348F">
              <w:rPr>
                <w:color w:val="000000"/>
                <w:sz w:val="22"/>
                <w:lang w:eastAsia="es-CO"/>
              </w:rPr>
              <w:t xml:space="preserve">        418,67 </w:t>
            </w:r>
          </w:p>
        </w:tc>
        <w:tc>
          <w:tcPr>
            <w:tcW w:w="1240" w:type="dxa"/>
            <w:tcBorders>
              <w:top w:val="nil"/>
              <w:left w:val="nil"/>
              <w:bottom w:val="single" w:sz="8" w:space="0" w:color="93D07C"/>
              <w:right w:val="single" w:sz="8" w:space="0" w:color="93D07C"/>
            </w:tcBorders>
            <w:shd w:val="clear" w:color="000000" w:fill="FF0000"/>
            <w:vAlign w:val="center"/>
            <w:hideMark/>
          </w:tcPr>
          <w:p w14:paraId="5D15AB46"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EA348F">
              <w:rPr>
                <w:color w:val="000000"/>
                <w:sz w:val="22"/>
                <w:lang w:eastAsia="es-CO"/>
              </w:rPr>
              <w:t>275,09</w:t>
            </w:r>
          </w:p>
        </w:tc>
        <w:tc>
          <w:tcPr>
            <w:tcW w:w="1240" w:type="dxa"/>
            <w:tcBorders>
              <w:top w:val="nil"/>
              <w:left w:val="nil"/>
              <w:bottom w:val="single" w:sz="8" w:space="0" w:color="93D07C"/>
              <w:right w:val="single" w:sz="8" w:space="0" w:color="93D07C"/>
            </w:tcBorders>
            <w:shd w:val="clear" w:color="000000" w:fill="92D050"/>
            <w:vAlign w:val="center"/>
            <w:hideMark/>
          </w:tcPr>
          <w:p w14:paraId="2358822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EA348F">
              <w:rPr>
                <w:color w:val="000000"/>
                <w:sz w:val="22"/>
                <w:lang w:eastAsia="es-CO"/>
              </w:rPr>
              <w:t xml:space="preserve"> R$      1,96 </w:t>
            </w:r>
          </w:p>
        </w:tc>
        <w:tc>
          <w:tcPr>
            <w:tcW w:w="1240" w:type="dxa"/>
            <w:tcBorders>
              <w:top w:val="nil"/>
              <w:left w:val="nil"/>
              <w:bottom w:val="single" w:sz="8" w:space="0" w:color="93D07C"/>
              <w:right w:val="single" w:sz="8" w:space="0" w:color="93D07C"/>
            </w:tcBorders>
            <w:shd w:val="clear" w:color="000000" w:fill="92D050"/>
            <w:vAlign w:val="center"/>
            <w:hideMark/>
          </w:tcPr>
          <w:p w14:paraId="1587122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EA348F">
              <w:rPr>
                <w:color w:val="000000"/>
                <w:sz w:val="22"/>
                <w:lang w:eastAsia="es-CO"/>
              </w:rPr>
              <w:t>27,00%</w:t>
            </w:r>
          </w:p>
        </w:tc>
        <w:tc>
          <w:tcPr>
            <w:tcW w:w="1240" w:type="dxa"/>
            <w:tcBorders>
              <w:top w:val="nil"/>
              <w:left w:val="nil"/>
              <w:bottom w:val="single" w:sz="8" w:space="0" w:color="93D07C"/>
              <w:right w:val="single" w:sz="8" w:space="0" w:color="93D07C"/>
            </w:tcBorders>
            <w:shd w:val="clear" w:color="000000" w:fill="FFFF00"/>
            <w:vAlign w:val="center"/>
            <w:hideMark/>
          </w:tcPr>
          <w:p w14:paraId="79D11EA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EA348F">
              <w:rPr>
                <w:color w:val="000000"/>
                <w:sz w:val="22"/>
                <w:lang w:eastAsia="es-CO"/>
              </w:rPr>
              <w:t>39,00%</w:t>
            </w:r>
          </w:p>
        </w:tc>
        <w:tc>
          <w:tcPr>
            <w:tcW w:w="1240" w:type="dxa"/>
            <w:tcBorders>
              <w:top w:val="nil"/>
              <w:left w:val="nil"/>
              <w:bottom w:val="single" w:sz="8" w:space="0" w:color="93D07C"/>
              <w:right w:val="single" w:sz="8" w:space="0" w:color="93D07C"/>
            </w:tcBorders>
            <w:shd w:val="clear" w:color="000000" w:fill="92D050"/>
            <w:vAlign w:val="center"/>
            <w:hideMark/>
          </w:tcPr>
          <w:p w14:paraId="66924330"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EA348F">
              <w:rPr>
                <w:color w:val="000000"/>
                <w:sz w:val="22"/>
                <w:lang w:eastAsia="es-CO"/>
              </w:rPr>
              <w:t xml:space="preserve">        247,58 </w:t>
            </w:r>
          </w:p>
        </w:tc>
      </w:tr>
      <w:tr w:rsidR="00165EF5" w:rsidRPr="00165EF5" w14:paraId="0FFA1BD5"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auto" w:fill="auto"/>
            <w:vAlign w:val="center"/>
            <w:hideMark/>
          </w:tcPr>
          <w:p w14:paraId="6C888CE0"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Sanepar</w:t>
            </w:r>
          </w:p>
        </w:tc>
        <w:tc>
          <w:tcPr>
            <w:tcW w:w="1240" w:type="dxa"/>
            <w:tcBorders>
              <w:top w:val="nil"/>
              <w:left w:val="nil"/>
              <w:bottom w:val="single" w:sz="8" w:space="0" w:color="93D07C"/>
              <w:right w:val="single" w:sz="8" w:space="0" w:color="93D07C"/>
            </w:tcBorders>
            <w:shd w:val="clear" w:color="000000" w:fill="92D050"/>
            <w:vAlign w:val="center"/>
            <w:hideMark/>
          </w:tcPr>
          <w:p w14:paraId="4D91676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814,68</w:t>
            </w:r>
          </w:p>
        </w:tc>
        <w:tc>
          <w:tcPr>
            <w:tcW w:w="1240" w:type="dxa"/>
            <w:tcBorders>
              <w:top w:val="nil"/>
              <w:left w:val="nil"/>
              <w:bottom w:val="single" w:sz="8" w:space="0" w:color="93D07C"/>
              <w:right w:val="single" w:sz="8" w:space="0" w:color="93D07C"/>
            </w:tcBorders>
            <w:shd w:val="clear" w:color="000000" w:fill="92D050"/>
            <w:vAlign w:val="center"/>
            <w:hideMark/>
          </w:tcPr>
          <w:p w14:paraId="5E39E31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552,47</w:t>
            </w:r>
          </w:p>
        </w:tc>
        <w:tc>
          <w:tcPr>
            <w:tcW w:w="1240" w:type="dxa"/>
            <w:tcBorders>
              <w:top w:val="nil"/>
              <w:left w:val="nil"/>
              <w:bottom w:val="single" w:sz="8" w:space="0" w:color="93D07C"/>
              <w:right w:val="single" w:sz="8" w:space="0" w:color="93D07C"/>
            </w:tcBorders>
            <w:shd w:val="clear" w:color="000000" w:fill="92D050"/>
            <w:vAlign w:val="center"/>
            <w:hideMark/>
          </w:tcPr>
          <w:p w14:paraId="6DCACEE9"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2,23 </w:t>
            </w:r>
          </w:p>
        </w:tc>
        <w:tc>
          <w:tcPr>
            <w:tcW w:w="1240" w:type="dxa"/>
            <w:tcBorders>
              <w:top w:val="nil"/>
              <w:left w:val="nil"/>
              <w:bottom w:val="single" w:sz="8" w:space="0" w:color="93D07C"/>
              <w:right w:val="single" w:sz="8" w:space="0" w:color="93D07C"/>
            </w:tcBorders>
            <w:shd w:val="clear" w:color="000000" w:fill="92D050"/>
            <w:vAlign w:val="center"/>
            <w:hideMark/>
          </w:tcPr>
          <w:p w14:paraId="1870B8C2"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19,47%</w:t>
            </w:r>
          </w:p>
        </w:tc>
        <w:tc>
          <w:tcPr>
            <w:tcW w:w="1240" w:type="dxa"/>
            <w:tcBorders>
              <w:top w:val="nil"/>
              <w:left w:val="nil"/>
              <w:bottom w:val="single" w:sz="8" w:space="0" w:color="93D07C"/>
              <w:right w:val="single" w:sz="8" w:space="0" w:color="93D07C"/>
            </w:tcBorders>
            <w:shd w:val="clear" w:color="000000" w:fill="92D050"/>
            <w:vAlign w:val="center"/>
            <w:hideMark/>
          </w:tcPr>
          <w:p w14:paraId="376CA48C"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33,71%</w:t>
            </w:r>
          </w:p>
        </w:tc>
        <w:tc>
          <w:tcPr>
            <w:tcW w:w="1240" w:type="dxa"/>
            <w:tcBorders>
              <w:top w:val="nil"/>
              <w:left w:val="nil"/>
              <w:bottom w:val="single" w:sz="8" w:space="0" w:color="93D07C"/>
              <w:right w:val="single" w:sz="8" w:space="0" w:color="93D07C"/>
            </w:tcBorders>
            <w:shd w:val="clear" w:color="000000" w:fill="92D050"/>
            <w:vAlign w:val="center"/>
            <w:hideMark/>
          </w:tcPr>
          <w:p w14:paraId="5DF15FEE"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225,24</w:t>
            </w:r>
          </w:p>
        </w:tc>
      </w:tr>
      <w:tr w:rsidR="00165EF5" w:rsidRPr="00165EF5" w14:paraId="6DE6F731" w14:textId="77777777" w:rsidTr="00EA348F">
        <w:trPr>
          <w:trHeight w:val="300"/>
          <w:jc w:val="center"/>
        </w:trPr>
        <w:tc>
          <w:tcPr>
            <w:tcW w:w="1240" w:type="dxa"/>
            <w:tcBorders>
              <w:top w:val="nil"/>
              <w:left w:val="single" w:sz="8" w:space="0" w:color="93D07C"/>
              <w:bottom w:val="single" w:sz="8" w:space="0" w:color="93D07C"/>
              <w:right w:val="single" w:sz="8" w:space="0" w:color="93D07C"/>
            </w:tcBorders>
            <w:shd w:val="clear" w:color="000000" w:fill="DAEFD3"/>
            <w:vAlign w:val="center"/>
            <w:hideMark/>
          </w:tcPr>
          <w:p w14:paraId="090A8336" w14:textId="77777777" w:rsidR="00165EF5" w:rsidRPr="00EA348F" w:rsidRDefault="00165EF5" w:rsidP="00165EF5">
            <w:pPr>
              <w:spacing w:before="0" w:beforeAutospacing="0" w:after="0" w:afterAutospacing="0" w:line="240" w:lineRule="auto"/>
              <w:ind w:firstLine="0"/>
              <w:jc w:val="left"/>
              <w:rPr>
                <w:color w:val="000000"/>
                <w:sz w:val="22"/>
                <w:lang w:eastAsia="es-CO"/>
              </w:rPr>
            </w:pPr>
            <w:r w:rsidRPr="00272793">
              <w:rPr>
                <w:color w:val="000000"/>
                <w:sz w:val="22"/>
                <w:lang w:eastAsia="es-CO"/>
              </w:rPr>
              <w:t>Sanesul</w:t>
            </w:r>
          </w:p>
        </w:tc>
        <w:tc>
          <w:tcPr>
            <w:tcW w:w="1240" w:type="dxa"/>
            <w:tcBorders>
              <w:top w:val="nil"/>
              <w:left w:val="nil"/>
              <w:bottom w:val="single" w:sz="8" w:space="0" w:color="93D07C"/>
              <w:right w:val="single" w:sz="8" w:space="0" w:color="93D07C"/>
            </w:tcBorders>
            <w:shd w:val="clear" w:color="000000" w:fill="FFFF00"/>
            <w:vAlign w:val="center"/>
            <w:hideMark/>
          </w:tcPr>
          <w:p w14:paraId="7358775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465,68</w:t>
            </w:r>
          </w:p>
        </w:tc>
        <w:tc>
          <w:tcPr>
            <w:tcW w:w="1240" w:type="dxa"/>
            <w:tcBorders>
              <w:top w:val="nil"/>
              <w:left w:val="nil"/>
              <w:bottom w:val="single" w:sz="8" w:space="0" w:color="93D07C"/>
              <w:right w:val="single" w:sz="8" w:space="0" w:color="93D07C"/>
            </w:tcBorders>
            <w:shd w:val="clear" w:color="000000" w:fill="FF0000"/>
            <w:vAlign w:val="center"/>
            <w:hideMark/>
          </w:tcPr>
          <w:p w14:paraId="23E85FAA"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287,08</w:t>
            </w:r>
          </w:p>
        </w:tc>
        <w:tc>
          <w:tcPr>
            <w:tcW w:w="1240" w:type="dxa"/>
            <w:tcBorders>
              <w:top w:val="nil"/>
              <w:left w:val="nil"/>
              <w:bottom w:val="single" w:sz="8" w:space="0" w:color="93D07C"/>
              <w:right w:val="single" w:sz="8" w:space="0" w:color="93D07C"/>
            </w:tcBorders>
            <w:shd w:val="clear" w:color="000000" w:fill="FFFF00"/>
            <w:vAlign w:val="center"/>
            <w:hideMark/>
          </w:tcPr>
          <w:p w14:paraId="24AAC2D1"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 xml:space="preserve"> R$      2,80 </w:t>
            </w:r>
          </w:p>
        </w:tc>
        <w:tc>
          <w:tcPr>
            <w:tcW w:w="1240" w:type="dxa"/>
            <w:tcBorders>
              <w:top w:val="nil"/>
              <w:left w:val="nil"/>
              <w:bottom w:val="single" w:sz="8" w:space="0" w:color="93D07C"/>
              <w:right w:val="single" w:sz="8" w:space="0" w:color="93D07C"/>
            </w:tcBorders>
            <w:shd w:val="clear" w:color="000000" w:fill="92D050"/>
            <w:vAlign w:val="center"/>
            <w:hideMark/>
          </w:tcPr>
          <w:p w14:paraId="46009F65"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26,65%</w:t>
            </w:r>
          </w:p>
        </w:tc>
        <w:tc>
          <w:tcPr>
            <w:tcW w:w="1240" w:type="dxa"/>
            <w:tcBorders>
              <w:top w:val="nil"/>
              <w:left w:val="nil"/>
              <w:bottom w:val="single" w:sz="8" w:space="0" w:color="93D07C"/>
              <w:right w:val="single" w:sz="8" w:space="0" w:color="93D07C"/>
            </w:tcBorders>
            <w:shd w:val="clear" w:color="000000" w:fill="FFFF00"/>
            <w:vAlign w:val="center"/>
            <w:hideMark/>
          </w:tcPr>
          <w:p w14:paraId="20EFCCD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37,81%</w:t>
            </w:r>
          </w:p>
        </w:tc>
        <w:tc>
          <w:tcPr>
            <w:tcW w:w="1240" w:type="dxa"/>
            <w:tcBorders>
              <w:top w:val="nil"/>
              <w:left w:val="nil"/>
              <w:bottom w:val="single" w:sz="8" w:space="0" w:color="93D07C"/>
              <w:right w:val="single" w:sz="8" w:space="0" w:color="93D07C"/>
            </w:tcBorders>
            <w:shd w:val="clear" w:color="000000" w:fill="92D050"/>
            <w:vAlign w:val="center"/>
            <w:hideMark/>
          </w:tcPr>
          <w:p w14:paraId="2A933F0F" w14:textId="77777777" w:rsidR="00165EF5" w:rsidRPr="00EA348F" w:rsidRDefault="00165EF5" w:rsidP="00165EF5">
            <w:pPr>
              <w:spacing w:before="0" w:beforeAutospacing="0" w:after="0" w:afterAutospacing="0" w:line="240" w:lineRule="auto"/>
              <w:ind w:firstLine="0"/>
              <w:jc w:val="right"/>
              <w:rPr>
                <w:color w:val="000000"/>
                <w:sz w:val="22"/>
                <w:lang w:eastAsia="es-CO"/>
              </w:rPr>
            </w:pPr>
            <w:r w:rsidRPr="00272793">
              <w:rPr>
                <w:color w:val="000000"/>
                <w:sz w:val="22"/>
                <w:lang w:eastAsia="es-CO"/>
              </w:rPr>
              <w:t>243,18</w:t>
            </w:r>
          </w:p>
        </w:tc>
      </w:tr>
    </w:tbl>
    <w:p w14:paraId="57CDBF14" w14:textId="4B2CC890" w:rsidR="00F255E9" w:rsidRPr="00272793" w:rsidRDefault="00F255E9" w:rsidP="00EA348F">
      <w:pPr>
        <w:ind w:firstLine="0"/>
      </w:pPr>
      <w:r w:rsidRPr="00042F25">
        <w:rPr>
          <w:sz w:val="20"/>
        </w:rPr>
        <w:t>FONTE: SNIS 2015. ELABORADO POR: GO ASSOCIADOS</w:t>
      </w:r>
    </w:p>
    <w:p w14:paraId="49C359F9" w14:textId="77777777" w:rsidR="00C90E47" w:rsidRPr="00042F25" w:rsidRDefault="00C90E47" w:rsidP="00EA348F">
      <w:pPr>
        <w:pStyle w:val="Descripcin"/>
        <w:spacing w:before="0" w:beforeAutospacing="0"/>
        <w:jc w:val="left"/>
      </w:pPr>
    </w:p>
    <w:p w14:paraId="61C0C642" w14:textId="37352055" w:rsidR="003847A3" w:rsidRPr="00042F25" w:rsidRDefault="003847A3" w:rsidP="00C71C89">
      <w:pPr>
        <w:pStyle w:val="Ttulo2"/>
        <w:ind w:left="1427"/>
      </w:pPr>
      <w:bookmarkStart w:id="29" w:name="_Toc493094928"/>
      <w:r w:rsidRPr="00042F25">
        <w:t>Índice</w:t>
      </w:r>
      <w:r w:rsidR="007E4835" w:rsidRPr="00042F25">
        <w:t>s</w:t>
      </w:r>
      <w:r w:rsidRPr="00042F25">
        <w:t xml:space="preserve"> de produtividade de economias</w:t>
      </w:r>
      <w:r w:rsidR="007E4835" w:rsidRPr="00042F25">
        <w:t xml:space="preserve"> ativas</w:t>
      </w:r>
      <w:bookmarkEnd w:id="29"/>
    </w:p>
    <w:p w14:paraId="3B82C298" w14:textId="37199E5F" w:rsidR="003847A3" w:rsidRPr="00042F25" w:rsidRDefault="007E4835" w:rsidP="003847A3">
      <w:r w:rsidRPr="00042F25">
        <w:t>Os índices de produtividade de eco</w:t>
      </w:r>
      <w:r w:rsidR="00E30740" w:rsidRPr="00042F25">
        <w:t>nomias ativas podem ser dividido</w:t>
      </w:r>
      <w:r w:rsidRPr="00042F25">
        <w:t>s em dois</w:t>
      </w:r>
      <w:r w:rsidR="002C5C80" w:rsidRPr="00042F25">
        <w:t xml:space="preserve"> </w:t>
      </w:r>
      <w:r w:rsidR="006E2C4F" w:rsidRPr="00042F25">
        <w:t>parâmetros</w:t>
      </w:r>
      <w:r w:rsidRPr="00042F25">
        <w:t>: um seria o valor por pessoal próprio</w:t>
      </w:r>
      <w:r w:rsidR="006475F7" w:rsidRPr="00042F25">
        <w:t xml:space="preserve"> (IN002)</w:t>
      </w:r>
      <w:r w:rsidR="00BF6582" w:rsidRPr="00042F25">
        <w:t>, expresso em economia/empregado</w:t>
      </w:r>
      <w:r w:rsidR="001E372D" w:rsidRPr="00042F25">
        <w:t>,</w:t>
      </w:r>
      <w:r w:rsidRPr="00042F25">
        <w:t xml:space="preserve"> e o outro seria o valor por pessoa</w:t>
      </w:r>
      <w:r w:rsidR="001E372D" w:rsidRPr="00042F25">
        <w:t>l</w:t>
      </w:r>
      <w:r w:rsidRPr="00042F25">
        <w:t xml:space="preserve"> total</w:t>
      </w:r>
      <w:r w:rsidR="006475F7" w:rsidRPr="00042F25">
        <w:t xml:space="preserve"> (IN019)</w:t>
      </w:r>
      <w:r w:rsidR="00BF6582" w:rsidRPr="00042F25">
        <w:t>, expresso em economia/empregado equivalente</w:t>
      </w:r>
      <w:r w:rsidRPr="00042F25">
        <w:t>.</w:t>
      </w:r>
      <w:r w:rsidR="006475F7" w:rsidRPr="00042F25">
        <w:t xml:space="preserve"> Os dois índices são calculados através d</w:t>
      </w:r>
      <w:r w:rsidR="003847A3" w:rsidRPr="00042F25">
        <w:t>a quantidade de economias ativas de água (AG003)</w:t>
      </w:r>
      <w:r w:rsidR="006475F7" w:rsidRPr="00042F25">
        <w:t xml:space="preserve"> e</w:t>
      </w:r>
      <w:r w:rsidR="003847A3" w:rsidRPr="00042F25">
        <w:t xml:space="preserve"> a quantidade de econo</w:t>
      </w:r>
      <w:r w:rsidR="006475F7" w:rsidRPr="00042F25">
        <w:t>mias ativas de esgotos (ES003), mas para o IN002</w:t>
      </w:r>
      <w:r w:rsidR="003847A3" w:rsidRPr="00042F25">
        <w:t xml:space="preserve"> a quantidade total de empregados próprios (FN026) </w:t>
      </w:r>
      <w:r w:rsidR="005F319C" w:rsidRPr="00042F25">
        <w:t>é</w:t>
      </w:r>
      <w:r w:rsidR="005E171F" w:rsidRPr="00042F25">
        <w:t xml:space="preserve"> </w:t>
      </w:r>
      <w:r w:rsidR="006475F7" w:rsidRPr="00042F25">
        <w:t>usada n</w:t>
      </w:r>
      <w:r w:rsidR="003847A3" w:rsidRPr="00042F25">
        <w:t>o seu cálculo</w:t>
      </w:r>
      <w:r w:rsidR="006475F7" w:rsidRPr="00042F25">
        <w:t>, enquanto que no IN009 a quantidade equival</w:t>
      </w:r>
      <w:r w:rsidR="005E171F" w:rsidRPr="00042F25">
        <w:t xml:space="preserve">ente de pessoal total (IN018) </w:t>
      </w:r>
      <w:r w:rsidR="005F319C" w:rsidRPr="00042F25">
        <w:t>é</w:t>
      </w:r>
      <w:r w:rsidR="005E171F" w:rsidRPr="00042F25">
        <w:t xml:space="preserve"> </w:t>
      </w:r>
      <w:r w:rsidR="006475F7" w:rsidRPr="00042F25">
        <w:t>usada</w:t>
      </w:r>
      <w:r w:rsidR="003847A3" w:rsidRPr="00042F25">
        <w:t xml:space="preserve">: </w:t>
      </w:r>
    </w:p>
    <w:p w14:paraId="22701B49" w14:textId="1439F86C" w:rsidR="003847A3" w:rsidRPr="00042F25" w:rsidRDefault="003847A3" w:rsidP="006475F7">
      <w:pPr>
        <w:jc w:val="center"/>
      </w:pPr>
      <m:oMathPara>
        <m:oMath>
          <m:r>
            <w:rPr>
              <w:rFonts w:ascii="Cambria Math" w:hAnsi="Cambria Math"/>
            </w:rPr>
            <m:t xml:space="preserve">IN002= </m:t>
          </m:r>
          <m:f>
            <m:fPr>
              <m:ctrlPr>
                <w:rPr>
                  <w:rFonts w:ascii="Cambria Math" w:hAnsi="Cambria Math"/>
                  <w:i/>
                </w:rPr>
              </m:ctrlPr>
            </m:fPr>
            <m:num>
              <m:r>
                <w:rPr>
                  <w:rFonts w:ascii="Cambria Math" w:hAnsi="Cambria Math"/>
                </w:rPr>
                <m:t>AG003+ES003</m:t>
              </m:r>
            </m:num>
            <m:den>
              <m:r>
                <w:rPr>
                  <w:rFonts w:ascii="Cambria Math" w:hAnsi="Cambria Math"/>
                </w:rPr>
                <m:t>FN026</m:t>
              </m:r>
            </m:den>
          </m:f>
        </m:oMath>
      </m:oMathPara>
    </w:p>
    <w:p w14:paraId="3DC23E81" w14:textId="3100AE94" w:rsidR="006475F7" w:rsidRPr="00042F25" w:rsidRDefault="006475F7" w:rsidP="006475F7">
      <w:pPr>
        <w:rPr>
          <w:rFonts w:ascii="Cambria Math" w:hAnsi="Cambria Math"/>
          <w:i/>
        </w:rPr>
      </w:pPr>
      <m:oMathPara>
        <m:oMathParaPr>
          <m:jc m:val="center"/>
        </m:oMathParaPr>
        <m:oMath>
          <m:r>
            <w:rPr>
              <w:rFonts w:ascii="Cambria Math" w:hAnsi="Cambria Math"/>
            </w:rPr>
            <m:t xml:space="preserve">IN019= </m:t>
          </m:r>
          <m:f>
            <m:fPr>
              <m:ctrlPr>
                <w:rPr>
                  <w:rFonts w:ascii="Cambria Math" w:hAnsi="Cambria Math"/>
                  <w:i/>
                </w:rPr>
              </m:ctrlPr>
            </m:fPr>
            <m:num>
              <m:r>
                <w:rPr>
                  <w:rFonts w:ascii="Cambria Math" w:hAnsi="Cambria Math"/>
                </w:rPr>
                <m:t>AG003+ES003</m:t>
              </m:r>
            </m:num>
            <m:den>
              <m:r>
                <w:rPr>
                  <w:rFonts w:ascii="Cambria Math" w:hAnsi="Cambria Math"/>
                </w:rPr>
                <m:t>IN018</m:t>
              </m:r>
            </m:den>
          </m:f>
        </m:oMath>
      </m:oMathPara>
    </w:p>
    <w:p w14:paraId="41D37FBC" w14:textId="30D192DE" w:rsidR="003847A3" w:rsidRPr="00042F25" w:rsidRDefault="006E2C4F" w:rsidP="003847A3">
      <w:r w:rsidRPr="00042F25">
        <w:t xml:space="preserve">Estes índices expressam a quantidade de economias de água e esgoto atendidas, em média, por cada empregado, seja próprio ou terceirizado. </w:t>
      </w:r>
      <w:r w:rsidR="003847A3" w:rsidRPr="00042F25">
        <w:t>A evolução deste</w:t>
      </w:r>
      <w:r w:rsidR="006475F7" w:rsidRPr="00042F25">
        <w:t>s</w:t>
      </w:r>
      <w:r w:rsidR="003847A3" w:rsidRPr="00042F25">
        <w:t xml:space="preserve"> índice</w:t>
      </w:r>
      <w:r w:rsidR="006475F7" w:rsidRPr="00042F25">
        <w:t>s</w:t>
      </w:r>
      <w:r w:rsidR="003847A3" w:rsidRPr="00042F25">
        <w:t xml:space="preserve"> de 2010 a 2015 nas Companhias Estaduais de Saneamento Básico mostra</w:t>
      </w:r>
      <w:r w:rsidR="00580094">
        <w:t xml:space="preserve"> CAGECE</w:t>
      </w:r>
      <w:r w:rsidR="00150555" w:rsidRPr="00042F25">
        <w:t xml:space="preserve"> e S</w:t>
      </w:r>
      <w:r w:rsidR="00580094">
        <w:t>ABESP</w:t>
      </w:r>
      <w:r w:rsidR="00150555" w:rsidRPr="00042F25">
        <w:t xml:space="preserve"> com os melhores índices de produtividade, sendo </w:t>
      </w:r>
      <w:r w:rsidR="00EA2FC1" w:rsidRPr="00042F25">
        <w:t xml:space="preserve">umas das únicas empresas a apresentarem </w:t>
      </w:r>
      <w:r w:rsidR="00150555" w:rsidRPr="00042F25">
        <w:t>índice de produtividade de economias ativas por pessoal próprio acima de 1.000</w:t>
      </w:r>
      <w:r w:rsidR="00EA2FC1" w:rsidRPr="00042F25">
        <w:t xml:space="preserve"> </w:t>
      </w:r>
      <w:r w:rsidR="00580094">
        <w:t>(media da amostra 613 e</w:t>
      </w:r>
      <w:r w:rsidR="00875CFA">
        <w:t>conomias/pessoal p.</w:t>
      </w:r>
      <w:r w:rsidR="00580094">
        <w:t xml:space="preserve"> em 2015) </w:t>
      </w:r>
      <w:r w:rsidR="00EA2FC1" w:rsidRPr="00042F25">
        <w:t>e</w:t>
      </w:r>
      <w:r w:rsidR="00150555" w:rsidRPr="00042F25">
        <w:t xml:space="preserve"> índice de produtividade </w:t>
      </w:r>
      <w:r w:rsidR="00150555" w:rsidRPr="00042F25">
        <w:lastRenderedPageBreak/>
        <w:t>de economias ativa</w:t>
      </w:r>
      <w:r w:rsidR="002923CC" w:rsidRPr="00042F25">
        <w:t xml:space="preserve">s por pessoal total acima de </w:t>
      </w:r>
      <w:r w:rsidR="00580094">
        <w:t xml:space="preserve">418 (media da amostra 613 economias </w:t>
      </w:r>
      <w:r w:rsidR="00875CFA">
        <w:t>/pessoal t.</w:t>
      </w:r>
      <w:r w:rsidR="00580094">
        <w:t xml:space="preserve"> em 2015)</w:t>
      </w:r>
      <w:r w:rsidR="00150555" w:rsidRPr="00042F25">
        <w:t>.</w:t>
      </w:r>
    </w:p>
    <w:p w14:paraId="69D81C52" w14:textId="1BD715AC" w:rsidR="003847A3" w:rsidRDefault="00150555" w:rsidP="00150555">
      <w:pPr>
        <w:pStyle w:val="Descripcin"/>
      </w:pPr>
      <w:bookmarkStart w:id="30" w:name="_Ref491696346"/>
      <w:bookmarkStart w:id="31" w:name="_Ref491696341"/>
      <w:bookmarkStart w:id="32" w:name="_Toc493222480"/>
      <w:r w:rsidRPr="00042F25">
        <w:t xml:space="preserve">Quadro </w:t>
      </w:r>
      <w:fldSimple w:instr=" SEQ Quadro \* ARABIC ">
        <w:r w:rsidR="00B64D1C" w:rsidRPr="00042F25">
          <w:rPr>
            <w:noProof/>
          </w:rPr>
          <w:t>17</w:t>
        </w:r>
      </w:fldSimple>
      <w:bookmarkEnd w:id="30"/>
      <w:r w:rsidR="00184C13" w:rsidRPr="00042F25">
        <w:t xml:space="preserve"> – Índice de P</w:t>
      </w:r>
      <w:r w:rsidR="003847A3" w:rsidRPr="00042F25">
        <w:t xml:space="preserve">rodutividade </w:t>
      </w:r>
      <w:r w:rsidR="007E4835" w:rsidRPr="00042F25">
        <w:t>de Economias Ativas por Pessoal Próprio</w:t>
      </w:r>
      <w:r w:rsidR="003847A3" w:rsidRPr="00042F25">
        <w:t xml:space="preserve"> </w:t>
      </w:r>
      <w:r w:rsidR="007E4835" w:rsidRPr="00042F25">
        <w:t>(</w:t>
      </w:r>
      <w:r w:rsidR="003847A3" w:rsidRPr="00042F25">
        <w:t>IN002</w:t>
      </w:r>
      <w:r w:rsidR="007E4835" w:rsidRPr="00042F25">
        <w:t>)</w:t>
      </w:r>
      <w:bookmarkEnd w:id="31"/>
      <w:bookmarkEnd w:id="32"/>
    </w:p>
    <w:tbl>
      <w:tblPr>
        <w:tblStyle w:val="Tabladecuadrcula4-nfasis11"/>
        <w:tblW w:w="9927" w:type="dxa"/>
        <w:jc w:val="center"/>
        <w:tblLayout w:type="fixed"/>
        <w:tblLook w:val="04A0" w:firstRow="1" w:lastRow="0" w:firstColumn="1" w:lastColumn="0" w:noHBand="0" w:noVBand="1"/>
      </w:tblPr>
      <w:tblGrid>
        <w:gridCol w:w="1487"/>
        <w:gridCol w:w="1426"/>
        <w:gridCol w:w="1426"/>
        <w:gridCol w:w="1426"/>
        <w:gridCol w:w="1414"/>
        <w:gridCol w:w="1322"/>
        <w:gridCol w:w="1426"/>
      </w:tblGrid>
      <w:tr w:rsidR="008729F9" w:rsidRPr="008729F9" w14:paraId="55E5D20A" w14:textId="77777777" w:rsidTr="00EA348F">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487" w:type="dxa"/>
          </w:tcPr>
          <w:p w14:paraId="0292000D"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FFFFFF"/>
                <w:sz w:val="22"/>
                <w:lang w:eastAsia="en-US"/>
              </w:rPr>
            </w:pPr>
            <w:r w:rsidRPr="00EA348F">
              <w:rPr>
                <w:rFonts w:eastAsiaTheme="minorHAnsi"/>
                <w:color w:val="FFFFFF"/>
                <w:sz w:val="22"/>
                <w:lang w:eastAsia="en-US"/>
              </w:rPr>
              <w:t>Empresa</w:t>
            </w:r>
          </w:p>
        </w:tc>
        <w:tc>
          <w:tcPr>
            <w:tcW w:w="1426" w:type="dxa"/>
          </w:tcPr>
          <w:p w14:paraId="36189305" w14:textId="77777777" w:rsidR="008729F9" w:rsidRPr="00EA348F"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2010</w:t>
            </w:r>
          </w:p>
        </w:tc>
        <w:tc>
          <w:tcPr>
            <w:tcW w:w="1426" w:type="dxa"/>
          </w:tcPr>
          <w:p w14:paraId="67CCE54F" w14:textId="77777777" w:rsidR="008729F9" w:rsidRPr="00EA348F"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2011</w:t>
            </w:r>
          </w:p>
        </w:tc>
        <w:tc>
          <w:tcPr>
            <w:tcW w:w="1426" w:type="dxa"/>
          </w:tcPr>
          <w:p w14:paraId="3A85E4E9" w14:textId="77777777" w:rsidR="008729F9" w:rsidRPr="00EA348F"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2012</w:t>
            </w:r>
          </w:p>
        </w:tc>
        <w:tc>
          <w:tcPr>
            <w:tcW w:w="1414" w:type="dxa"/>
          </w:tcPr>
          <w:p w14:paraId="3DAB96FC" w14:textId="77777777" w:rsidR="008729F9" w:rsidRPr="00EA348F"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2013</w:t>
            </w:r>
          </w:p>
        </w:tc>
        <w:tc>
          <w:tcPr>
            <w:tcW w:w="1322" w:type="dxa"/>
          </w:tcPr>
          <w:p w14:paraId="7ACC214D" w14:textId="77777777" w:rsidR="008729F9" w:rsidRPr="00EA348F"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2014</w:t>
            </w:r>
          </w:p>
        </w:tc>
        <w:tc>
          <w:tcPr>
            <w:tcW w:w="1426" w:type="dxa"/>
          </w:tcPr>
          <w:p w14:paraId="04268C6D" w14:textId="77777777" w:rsidR="008729F9" w:rsidRPr="00EA348F"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color w:val="FFFFFF"/>
                <w:sz w:val="22"/>
                <w:lang w:eastAsia="en-US"/>
              </w:rPr>
            </w:pPr>
            <w:r w:rsidRPr="00EA348F">
              <w:rPr>
                <w:rFonts w:eastAsiaTheme="minorHAnsi"/>
                <w:color w:val="FFFFFF"/>
                <w:sz w:val="22"/>
                <w:lang w:eastAsia="en-US"/>
              </w:rPr>
              <w:t>2015</w:t>
            </w:r>
          </w:p>
        </w:tc>
      </w:tr>
      <w:tr w:rsidR="008729F9" w:rsidRPr="008729F9" w14:paraId="79BD1FA1"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CB7BC6C"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Agespisa</w:t>
            </w:r>
          </w:p>
        </w:tc>
        <w:tc>
          <w:tcPr>
            <w:tcW w:w="1426" w:type="dxa"/>
          </w:tcPr>
          <w:p w14:paraId="5FC45F90"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423,04 </w:t>
            </w:r>
          </w:p>
        </w:tc>
        <w:tc>
          <w:tcPr>
            <w:tcW w:w="1426" w:type="dxa"/>
          </w:tcPr>
          <w:p w14:paraId="0B92F98C"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450,52 </w:t>
            </w:r>
          </w:p>
        </w:tc>
        <w:tc>
          <w:tcPr>
            <w:tcW w:w="1426" w:type="dxa"/>
          </w:tcPr>
          <w:p w14:paraId="207C285C"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472,81 </w:t>
            </w:r>
          </w:p>
        </w:tc>
        <w:tc>
          <w:tcPr>
            <w:tcW w:w="1414" w:type="dxa"/>
          </w:tcPr>
          <w:p w14:paraId="56250340"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494,41 </w:t>
            </w:r>
          </w:p>
        </w:tc>
        <w:tc>
          <w:tcPr>
            <w:tcW w:w="1322" w:type="dxa"/>
          </w:tcPr>
          <w:p w14:paraId="64FA8012"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521,63 </w:t>
            </w:r>
          </w:p>
        </w:tc>
        <w:tc>
          <w:tcPr>
            <w:tcW w:w="1426" w:type="dxa"/>
          </w:tcPr>
          <w:p w14:paraId="791019DD"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550,29 </w:t>
            </w:r>
          </w:p>
        </w:tc>
      </w:tr>
      <w:tr w:rsidR="008729F9" w:rsidRPr="008729F9" w14:paraId="03F8D79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7735680"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Caema</w:t>
            </w:r>
          </w:p>
        </w:tc>
        <w:tc>
          <w:tcPr>
            <w:tcW w:w="1426" w:type="dxa"/>
          </w:tcPr>
          <w:p w14:paraId="4ECA65CF"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387,22 </w:t>
            </w:r>
          </w:p>
        </w:tc>
        <w:tc>
          <w:tcPr>
            <w:tcW w:w="1426" w:type="dxa"/>
          </w:tcPr>
          <w:p w14:paraId="45B092F6"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360,19 </w:t>
            </w:r>
          </w:p>
        </w:tc>
        <w:tc>
          <w:tcPr>
            <w:tcW w:w="1426" w:type="dxa"/>
          </w:tcPr>
          <w:p w14:paraId="2202BC4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352,72 </w:t>
            </w:r>
          </w:p>
        </w:tc>
        <w:tc>
          <w:tcPr>
            <w:tcW w:w="1414" w:type="dxa"/>
          </w:tcPr>
          <w:p w14:paraId="5DFD2876"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373,70 </w:t>
            </w:r>
          </w:p>
        </w:tc>
        <w:tc>
          <w:tcPr>
            <w:tcW w:w="1322" w:type="dxa"/>
          </w:tcPr>
          <w:p w14:paraId="540613B4"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379,94 </w:t>
            </w:r>
          </w:p>
        </w:tc>
        <w:tc>
          <w:tcPr>
            <w:tcW w:w="1426" w:type="dxa"/>
          </w:tcPr>
          <w:p w14:paraId="082EBC42"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367,72 </w:t>
            </w:r>
          </w:p>
        </w:tc>
      </w:tr>
      <w:tr w:rsidR="008729F9" w:rsidRPr="008729F9" w14:paraId="3A26891E"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C747F3E"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w:t>
            </w:r>
          </w:p>
        </w:tc>
        <w:tc>
          <w:tcPr>
            <w:tcW w:w="1426" w:type="dxa"/>
          </w:tcPr>
          <w:p w14:paraId="1C426C3B"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248,99 </w:t>
            </w:r>
          </w:p>
        </w:tc>
        <w:tc>
          <w:tcPr>
            <w:tcW w:w="1426" w:type="dxa"/>
          </w:tcPr>
          <w:p w14:paraId="3B3ECCE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254,19 </w:t>
            </w:r>
          </w:p>
        </w:tc>
        <w:tc>
          <w:tcPr>
            <w:tcW w:w="1426" w:type="dxa"/>
          </w:tcPr>
          <w:p w14:paraId="73479FF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270,01 </w:t>
            </w:r>
          </w:p>
        </w:tc>
        <w:tc>
          <w:tcPr>
            <w:tcW w:w="1414" w:type="dxa"/>
          </w:tcPr>
          <w:p w14:paraId="1DD0D612"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276,41 </w:t>
            </w:r>
          </w:p>
        </w:tc>
        <w:tc>
          <w:tcPr>
            <w:tcW w:w="1322" w:type="dxa"/>
          </w:tcPr>
          <w:p w14:paraId="6FB13672"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247,20 </w:t>
            </w:r>
          </w:p>
        </w:tc>
        <w:tc>
          <w:tcPr>
            <w:tcW w:w="1426" w:type="dxa"/>
          </w:tcPr>
          <w:p w14:paraId="7C829F4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243,02 </w:t>
            </w:r>
          </w:p>
        </w:tc>
      </w:tr>
      <w:tr w:rsidR="008729F9" w:rsidRPr="008729F9" w14:paraId="170E96B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36721A2"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Caerd</w:t>
            </w:r>
          </w:p>
        </w:tc>
        <w:tc>
          <w:tcPr>
            <w:tcW w:w="1426" w:type="dxa"/>
          </w:tcPr>
          <w:p w14:paraId="5682269B"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276,10 </w:t>
            </w:r>
          </w:p>
        </w:tc>
        <w:tc>
          <w:tcPr>
            <w:tcW w:w="1426" w:type="dxa"/>
          </w:tcPr>
          <w:p w14:paraId="5A0FF1BB"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249,08 </w:t>
            </w:r>
          </w:p>
        </w:tc>
        <w:tc>
          <w:tcPr>
            <w:tcW w:w="1426" w:type="dxa"/>
          </w:tcPr>
          <w:p w14:paraId="30B98294"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275,23 </w:t>
            </w:r>
          </w:p>
        </w:tc>
        <w:tc>
          <w:tcPr>
            <w:tcW w:w="1414" w:type="dxa"/>
          </w:tcPr>
          <w:p w14:paraId="57D333F7"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246,23 </w:t>
            </w:r>
          </w:p>
        </w:tc>
        <w:tc>
          <w:tcPr>
            <w:tcW w:w="1322" w:type="dxa"/>
          </w:tcPr>
          <w:p w14:paraId="5C7D8084"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222,04 </w:t>
            </w:r>
          </w:p>
        </w:tc>
        <w:tc>
          <w:tcPr>
            <w:tcW w:w="1426" w:type="dxa"/>
          </w:tcPr>
          <w:p w14:paraId="55B83679"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245,68 </w:t>
            </w:r>
          </w:p>
        </w:tc>
      </w:tr>
      <w:tr w:rsidR="008729F9" w:rsidRPr="008729F9" w14:paraId="0F13E8B7"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5B91E16"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Caern</w:t>
            </w:r>
          </w:p>
        </w:tc>
        <w:tc>
          <w:tcPr>
            <w:tcW w:w="1426" w:type="dxa"/>
          </w:tcPr>
          <w:p w14:paraId="49C3F48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476,00 </w:t>
            </w:r>
          </w:p>
        </w:tc>
        <w:tc>
          <w:tcPr>
            <w:tcW w:w="1426" w:type="dxa"/>
          </w:tcPr>
          <w:p w14:paraId="7D88C445"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483,09 </w:t>
            </w:r>
          </w:p>
        </w:tc>
        <w:tc>
          <w:tcPr>
            <w:tcW w:w="1426" w:type="dxa"/>
          </w:tcPr>
          <w:p w14:paraId="02DE741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494,74 </w:t>
            </w:r>
          </w:p>
        </w:tc>
        <w:tc>
          <w:tcPr>
            <w:tcW w:w="1414" w:type="dxa"/>
          </w:tcPr>
          <w:p w14:paraId="2B196FDA"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499,40 </w:t>
            </w:r>
          </w:p>
        </w:tc>
        <w:tc>
          <w:tcPr>
            <w:tcW w:w="1322" w:type="dxa"/>
          </w:tcPr>
          <w:p w14:paraId="09E4C695"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479,06 </w:t>
            </w:r>
          </w:p>
        </w:tc>
        <w:tc>
          <w:tcPr>
            <w:tcW w:w="1426" w:type="dxa"/>
          </w:tcPr>
          <w:p w14:paraId="28A2F814"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451,06 </w:t>
            </w:r>
          </w:p>
        </w:tc>
      </w:tr>
      <w:tr w:rsidR="008729F9" w:rsidRPr="008729F9" w14:paraId="2BC2A50D"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9D378F8"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Caesa</w:t>
            </w:r>
          </w:p>
        </w:tc>
        <w:tc>
          <w:tcPr>
            <w:tcW w:w="1426" w:type="dxa"/>
          </w:tcPr>
          <w:p w14:paraId="10D47652"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206,45 </w:t>
            </w:r>
          </w:p>
        </w:tc>
        <w:tc>
          <w:tcPr>
            <w:tcW w:w="1426" w:type="dxa"/>
          </w:tcPr>
          <w:p w14:paraId="41CBF26B"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196,65 </w:t>
            </w:r>
          </w:p>
        </w:tc>
        <w:tc>
          <w:tcPr>
            <w:tcW w:w="1426" w:type="dxa"/>
          </w:tcPr>
          <w:p w14:paraId="481FC96A"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203,51 </w:t>
            </w:r>
          </w:p>
        </w:tc>
        <w:tc>
          <w:tcPr>
            <w:tcW w:w="1414" w:type="dxa"/>
          </w:tcPr>
          <w:p w14:paraId="067EB97C"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216,17 </w:t>
            </w:r>
          </w:p>
        </w:tc>
        <w:tc>
          <w:tcPr>
            <w:tcW w:w="1322" w:type="dxa"/>
          </w:tcPr>
          <w:p w14:paraId="469E7295"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215,79 </w:t>
            </w:r>
          </w:p>
        </w:tc>
        <w:tc>
          <w:tcPr>
            <w:tcW w:w="1426" w:type="dxa"/>
          </w:tcPr>
          <w:p w14:paraId="479EA23C"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251,26 </w:t>
            </w:r>
          </w:p>
        </w:tc>
      </w:tr>
      <w:tr w:rsidR="008729F9" w:rsidRPr="008729F9" w14:paraId="3B1515C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542A19D"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Caesb</w:t>
            </w:r>
          </w:p>
        </w:tc>
        <w:tc>
          <w:tcPr>
            <w:tcW w:w="1426" w:type="dxa"/>
          </w:tcPr>
          <w:p w14:paraId="483EDF39"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651,03 </w:t>
            </w:r>
          </w:p>
        </w:tc>
        <w:tc>
          <w:tcPr>
            <w:tcW w:w="1426" w:type="dxa"/>
          </w:tcPr>
          <w:p w14:paraId="2F0669B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661,93 </w:t>
            </w:r>
          </w:p>
        </w:tc>
        <w:tc>
          <w:tcPr>
            <w:tcW w:w="1426" w:type="dxa"/>
          </w:tcPr>
          <w:p w14:paraId="241293C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673,62 </w:t>
            </w:r>
          </w:p>
        </w:tc>
        <w:tc>
          <w:tcPr>
            <w:tcW w:w="1414" w:type="dxa"/>
          </w:tcPr>
          <w:p w14:paraId="77BC349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658,81 </w:t>
            </w:r>
          </w:p>
        </w:tc>
        <w:tc>
          <w:tcPr>
            <w:tcW w:w="1322" w:type="dxa"/>
          </w:tcPr>
          <w:p w14:paraId="0A3BB73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670,42 </w:t>
            </w:r>
          </w:p>
        </w:tc>
        <w:tc>
          <w:tcPr>
            <w:tcW w:w="1426" w:type="dxa"/>
          </w:tcPr>
          <w:p w14:paraId="2FF091C6"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720,10 </w:t>
            </w:r>
          </w:p>
        </w:tc>
      </w:tr>
      <w:tr w:rsidR="008729F9" w:rsidRPr="008729F9" w14:paraId="264386A3"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2F1134A"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Cagece</w:t>
            </w:r>
          </w:p>
        </w:tc>
        <w:tc>
          <w:tcPr>
            <w:tcW w:w="1426" w:type="dxa"/>
          </w:tcPr>
          <w:p w14:paraId="657DC6DC"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1.356,59 </w:t>
            </w:r>
          </w:p>
        </w:tc>
        <w:tc>
          <w:tcPr>
            <w:tcW w:w="1426" w:type="dxa"/>
          </w:tcPr>
          <w:p w14:paraId="2542E2FB"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1.314,67 </w:t>
            </w:r>
          </w:p>
        </w:tc>
        <w:tc>
          <w:tcPr>
            <w:tcW w:w="1426" w:type="dxa"/>
          </w:tcPr>
          <w:p w14:paraId="120A70BB"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1.492,44 </w:t>
            </w:r>
          </w:p>
        </w:tc>
        <w:tc>
          <w:tcPr>
            <w:tcW w:w="1414" w:type="dxa"/>
          </w:tcPr>
          <w:p w14:paraId="35937C98"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1.454,62 </w:t>
            </w:r>
          </w:p>
        </w:tc>
        <w:tc>
          <w:tcPr>
            <w:tcW w:w="1322" w:type="dxa"/>
          </w:tcPr>
          <w:p w14:paraId="761F91B5"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1.426,01 </w:t>
            </w:r>
          </w:p>
        </w:tc>
        <w:tc>
          <w:tcPr>
            <w:tcW w:w="1426" w:type="dxa"/>
          </w:tcPr>
          <w:p w14:paraId="3425B95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1.468,85 </w:t>
            </w:r>
          </w:p>
        </w:tc>
      </w:tr>
      <w:tr w:rsidR="008729F9" w:rsidRPr="008729F9" w14:paraId="0EF5988D"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790DAC2"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Cagepa</w:t>
            </w:r>
          </w:p>
        </w:tc>
        <w:tc>
          <w:tcPr>
            <w:tcW w:w="1426" w:type="dxa"/>
          </w:tcPr>
          <w:p w14:paraId="5B24F926"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337,06 </w:t>
            </w:r>
          </w:p>
        </w:tc>
        <w:tc>
          <w:tcPr>
            <w:tcW w:w="1426" w:type="dxa"/>
          </w:tcPr>
          <w:p w14:paraId="34771B3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336,71 </w:t>
            </w:r>
          </w:p>
        </w:tc>
        <w:tc>
          <w:tcPr>
            <w:tcW w:w="1426" w:type="dxa"/>
          </w:tcPr>
          <w:p w14:paraId="585CFDB4"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335,09 </w:t>
            </w:r>
          </w:p>
        </w:tc>
        <w:tc>
          <w:tcPr>
            <w:tcW w:w="1414" w:type="dxa"/>
          </w:tcPr>
          <w:p w14:paraId="027DB69D"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354,91 </w:t>
            </w:r>
          </w:p>
        </w:tc>
        <w:tc>
          <w:tcPr>
            <w:tcW w:w="1322" w:type="dxa"/>
          </w:tcPr>
          <w:p w14:paraId="2BD35ECE"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372,39 </w:t>
            </w:r>
          </w:p>
        </w:tc>
        <w:tc>
          <w:tcPr>
            <w:tcW w:w="1426" w:type="dxa"/>
          </w:tcPr>
          <w:p w14:paraId="66E8E066"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398,02 </w:t>
            </w:r>
          </w:p>
        </w:tc>
      </w:tr>
      <w:tr w:rsidR="008729F9" w:rsidRPr="008729F9" w14:paraId="51CD1733"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EEA177C"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Casal</w:t>
            </w:r>
          </w:p>
        </w:tc>
        <w:tc>
          <w:tcPr>
            <w:tcW w:w="1426" w:type="dxa"/>
          </w:tcPr>
          <w:p w14:paraId="7593EE1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385,01 </w:t>
            </w:r>
          </w:p>
        </w:tc>
        <w:tc>
          <w:tcPr>
            <w:tcW w:w="1426" w:type="dxa"/>
          </w:tcPr>
          <w:p w14:paraId="47213CD2"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377,51 </w:t>
            </w:r>
          </w:p>
        </w:tc>
        <w:tc>
          <w:tcPr>
            <w:tcW w:w="1426" w:type="dxa"/>
          </w:tcPr>
          <w:p w14:paraId="6127301C"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382,02 </w:t>
            </w:r>
          </w:p>
        </w:tc>
        <w:tc>
          <w:tcPr>
            <w:tcW w:w="1414" w:type="dxa"/>
          </w:tcPr>
          <w:p w14:paraId="376D8A9F"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415,22 </w:t>
            </w:r>
          </w:p>
        </w:tc>
        <w:tc>
          <w:tcPr>
            <w:tcW w:w="1322" w:type="dxa"/>
          </w:tcPr>
          <w:p w14:paraId="006BD78C"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442,44 </w:t>
            </w:r>
          </w:p>
        </w:tc>
        <w:tc>
          <w:tcPr>
            <w:tcW w:w="1426" w:type="dxa"/>
          </w:tcPr>
          <w:p w14:paraId="4438CAE9"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441,78 </w:t>
            </w:r>
          </w:p>
        </w:tc>
      </w:tr>
      <w:tr w:rsidR="008729F9" w:rsidRPr="008729F9" w14:paraId="4FFBD2E3"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3FFDA91"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Casan</w:t>
            </w:r>
          </w:p>
        </w:tc>
        <w:tc>
          <w:tcPr>
            <w:tcW w:w="1426" w:type="dxa"/>
          </w:tcPr>
          <w:p w14:paraId="4970BAC0"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497,37 </w:t>
            </w:r>
          </w:p>
        </w:tc>
        <w:tc>
          <w:tcPr>
            <w:tcW w:w="1426" w:type="dxa"/>
          </w:tcPr>
          <w:p w14:paraId="04B93BE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508,39 </w:t>
            </w:r>
          </w:p>
        </w:tc>
        <w:tc>
          <w:tcPr>
            <w:tcW w:w="1426" w:type="dxa"/>
          </w:tcPr>
          <w:p w14:paraId="513CEDAE"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510,49 </w:t>
            </w:r>
          </w:p>
        </w:tc>
        <w:tc>
          <w:tcPr>
            <w:tcW w:w="1414" w:type="dxa"/>
          </w:tcPr>
          <w:p w14:paraId="29770C5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517,75 </w:t>
            </w:r>
          </w:p>
        </w:tc>
        <w:tc>
          <w:tcPr>
            <w:tcW w:w="1322" w:type="dxa"/>
          </w:tcPr>
          <w:p w14:paraId="5721678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514,81 </w:t>
            </w:r>
          </w:p>
        </w:tc>
        <w:tc>
          <w:tcPr>
            <w:tcW w:w="1426" w:type="dxa"/>
          </w:tcPr>
          <w:p w14:paraId="378DA4E6"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505,46 </w:t>
            </w:r>
          </w:p>
        </w:tc>
      </w:tr>
      <w:tr w:rsidR="008729F9" w:rsidRPr="008729F9" w14:paraId="3E7E88E1"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AD6254F"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Cedae</w:t>
            </w:r>
          </w:p>
        </w:tc>
        <w:tc>
          <w:tcPr>
            <w:tcW w:w="1426" w:type="dxa"/>
          </w:tcPr>
          <w:p w14:paraId="54620F2E"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757,21 </w:t>
            </w:r>
          </w:p>
        </w:tc>
        <w:tc>
          <w:tcPr>
            <w:tcW w:w="1426" w:type="dxa"/>
          </w:tcPr>
          <w:p w14:paraId="50ED3C7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888,83 </w:t>
            </w:r>
          </w:p>
        </w:tc>
        <w:tc>
          <w:tcPr>
            <w:tcW w:w="1426" w:type="dxa"/>
          </w:tcPr>
          <w:p w14:paraId="38366D04"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896,21 </w:t>
            </w:r>
          </w:p>
        </w:tc>
        <w:tc>
          <w:tcPr>
            <w:tcW w:w="1414" w:type="dxa"/>
          </w:tcPr>
          <w:p w14:paraId="1B00F19F"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904,48 </w:t>
            </w:r>
          </w:p>
        </w:tc>
        <w:tc>
          <w:tcPr>
            <w:tcW w:w="1322" w:type="dxa"/>
          </w:tcPr>
          <w:p w14:paraId="0E4218F6"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930,95 </w:t>
            </w:r>
          </w:p>
        </w:tc>
        <w:tc>
          <w:tcPr>
            <w:tcW w:w="1426" w:type="dxa"/>
          </w:tcPr>
          <w:p w14:paraId="18C451B0"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972,48 </w:t>
            </w:r>
          </w:p>
        </w:tc>
      </w:tr>
      <w:tr w:rsidR="008729F9" w:rsidRPr="008729F9" w14:paraId="33CE663E"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7560592"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Cesan</w:t>
            </w:r>
          </w:p>
        </w:tc>
        <w:tc>
          <w:tcPr>
            <w:tcW w:w="1426" w:type="dxa"/>
          </w:tcPr>
          <w:p w14:paraId="5A205FBE"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772,98 </w:t>
            </w:r>
          </w:p>
        </w:tc>
        <w:tc>
          <w:tcPr>
            <w:tcW w:w="1426" w:type="dxa"/>
          </w:tcPr>
          <w:p w14:paraId="2705F496"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736,82 </w:t>
            </w:r>
          </w:p>
        </w:tc>
        <w:tc>
          <w:tcPr>
            <w:tcW w:w="1426" w:type="dxa"/>
          </w:tcPr>
          <w:p w14:paraId="2A84DBE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751,69 </w:t>
            </w:r>
          </w:p>
        </w:tc>
        <w:tc>
          <w:tcPr>
            <w:tcW w:w="1414" w:type="dxa"/>
          </w:tcPr>
          <w:p w14:paraId="45F63791"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779,23 </w:t>
            </w:r>
          </w:p>
        </w:tc>
        <w:tc>
          <w:tcPr>
            <w:tcW w:w="1322" w:type="dxa"/>
          </w:tcPr>
          <w:p w14:paraId="11BE840E"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797,83 </w:t>
            </w:r>
          </w:p>
        </w:tc>
        <w:tc>
          <w:tcPr>
            <w:tcW w:w="1426" w:type="dxa"/>
          </w:tcPr>
          <w:p w14:paraId="54DCC069"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839,96 </w:t>
            </w:r>
          </w:p>
        </w:tc>
      </w:tr>
      <w:tr w:rsidR="008729F9" w:rsidRPr="008729F9" w14:paraId="18FCABEE"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0353A29"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Compesa</w:t>
            </w:r>
          </w:p>
        </w:tc>
        <w:tc>
          <w:tcPr>
            <w:tcW w:w="1426" w:type="dxa"/>
          </w:tcPr>
          <w:p w14:paraId="6504DE01"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583,62 </w:t>
            </w:r>
          </w:p>
        </w:tc>
        <w:tc>
          <w:tcPr>
            <w:tcW w:w="1426" w:type="dxa"/>
          </w:tcPr>
          <w:p w14:paraId="06C5C587"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624,29 </w:t>
            </w:r>
          </w:p>
        </w:tc>
        <w:tc>
          <w:tcPr>
            <w:tcW w:w="1426" w:type="dxa"/>
          </w:tcPr>
          <w:p w14:paraId="6C377480"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642,05 </w:t>
            </w:r>
          </w:p>
        </w:tc>
        <w:tc>
          <w:tcPr>
            <w:tcW w:w="1414" w:type="dxa"/>
          </w:tcPr>
          <w:p w14:paraId="267D5600"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682,65 </w:t>
            </w:r>
          </w:p>
        </w:tc>
        <w:tc>
          <w:tcPr>
            <w:tcW w:w="1322" w:type="dxa"/>
          </w:tcPr>
          <w:p w14:paraId="31590F7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734,39 </w:t>
            </w:r>
          </w:p>
        </w:tc>
        <w:tc>
          <w:tcPr>
            <w:tcW w:w="1426" w:type="dxa"/>
          </w:tcPr>
          <w:p w14:paraId="40B2734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770,34 </w:t>
            </w:r>
          </w:p>
        </w:tc>
      </w:tr>
      <w:tr w:rsidR="008729F9" w:rsidRPr="008729F9" w14:paraId="5E003655"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05C9417"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Copasa</w:t>
            </w:r>
          </w:p>
        </w:tc>
        <w:tc>
          <w:tcPr>
            <w:tcW w:w="1426" w:type="dxa"/>
          </w:tcPr>
          <w:p w14:paraId="6AAA0CE5"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581,71 </w:t>
            </w:r>
          </w:p>
        </w:tc>
        <w:tc>
          <w:tcPr>
            <w:tcW w:w="1426" w:type="dxa"/>
          </w:tcPr>
          <w:p w14:paraId="18BDA58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604,48 </w:t>
            </w:r>
          </w:p>
        </w:tc>
        <w:tc>
          <w:tcPr>
            <w:tcW w:w="1426" w:type="dxa"/>
          </w:tcPr>
          <w:p w14:paraId="3E83FAF1"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626,62 </w:t>
            </w:r>
          </w:p>
        </w:tc>
        <w:tc>
          <w:tcPr>
            <w:tcW w:w="1414" w:type="dxa"/>
          </w:tcPr>
          <w:p w14:paraId="683ED3A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645,20 </w:t>
            </w:r>
          </w:p>
        </w:tc>
        <w:tc>
          <w:tcPr>
            <w:tcW w:w="1322" w:type="dxa"/>
          </w:tcPr>
          <w:p w14:paraId="4D4AA14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646,42 </w:t>
            </w:r>
          </w:p>
        </w:tc>
        <w:tc>
          <w:tcPr>
            <w:tcW w:w="1426" w:type="dxa"/>
          </w:tcPr>
          <w:p w14:paraId="431A2B69"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662,60 </w:t>
            </w:r>
          </w:p>
        </w:tc>
      </w:tr>
      <w:tr w:rsidR="008729F9" w:rsidRPr="008729F9" w14:paraId="3C875DC0"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93136E4"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Corsan</w:t>
            </w:r>
          </w:p>
        </w:tc>
        <w:tc>
          <w:tcPr>
            <w:tcW w:w="1426" w:type="dxa"/>
          </w:tcPr>
          <w:p w14:paraId="0013A4C5"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539,23 </w:t>
            </w:r>
          </w:p>
        </w:tc>
        <w:tc>
          <w:tcPr>
            <w:tcW w:w="1426" w:type="dxa"/>
          </w:tcPr>
          <w:p w14:paraId="0CA4C82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652,21 </w:t>
            </w:r>
          </w:p>
        </w:tc>
        <w:tc>
          <w:tcPr>
            <w:tcW w:w="1426" w:type="dxa"/>
          </w:tcPr>
          <w:p w14:paraId="28A01914"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672,29 </w:t>
            </w:r>
          </w:p>
        </w:tc>
        <w:tc>
          <w:tcPr>
            <w:tcW w:w="1414" w:type="dxa"/>
          </w:tcPr>
          <w:p w14:paraId="20EED446"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534,41 </w:t>
            </w:r>
          </w:p>
        </w:tc>
        <w:tc>
          <w:tcPr>
            <w:tcW w:w="1322" w:type="dxa"/>
          </w:tcPr>
          <w:p w14:paraId="0552580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476,05 </w:t>
            </w:r>
          </w:p>
        </w:tc>
        <w:tc>
          <w:tcPr>
            <w:tcW w:w="1426" w:type="dxa"/>
          </w:tcPr>
          <w:p w14:paraId="43089D4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505,80 </w:t>
            </w:r>
          </w:p>
        </w:tc>
      </w:tr>
      <w:tr w:rsidR="008729F9" w:rsidRPr="008729F9" w14:paraId="17CA91F2"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024733B"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Cosanpa</w:t>
            </w:r>
          </w:p>
        </w:tc>
        <w:tc>
          <w:tcPr>
            <w:tcW w:w="1426" w:type="dxa"/>
          </w:tcPr>
          <w:p w14:paraId="0165682B"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349,63 </w:t>
            </w:r>
          </w:p>
        </w:tc>
        <w:tc>
          <w:tcPr>
            <w:tcW w:w="1426" w:type="dxa"/>
          </w:tcPr>
          <w:p w14:paraId="2A59E2E9"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348,77 </w:t>
            </w:r>
          </w:p>
        </w:tc>
        <w:tc>
          <w:tcPr>
            <w:tcW w:w="1426" w:type="dxa"/>
          </w:tcPr>
          <w:p w14:paraId="5562BB58"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346,52 </w:t>
            </w:r>
          </w:p>
        </w:tc>
        <w:tc>
          <w:tcPr>
            <w:tcW w:w="1414" w:type="dxa"/>
          </w:tcPr>
          <w:p w14:paraId="47B9F4E0"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331,39 </w:t>
            </w:r>
          </w:p>
        </w:tc>
        <w:tc>
          <w:tcPr>
            <w:tcW w:w="1322" w:type="dxa"/>
          </w:tcPr>
          <w:p w14:paraId="43F405B3"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356,05 </w:t>
            </w:r>
          </w:p>
        </w:tc>
        <w:tc>
          <w:tcPr>
            <w:tcW w:w="1426" w:type="dxa"/>
          </w:tcPr>
          <w:p w14:paraId="038B7315"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405,27 </w:t>
            </w:r>
          </w:p>
        </w:tc>
      </w:tr>
      <w:tr w:rsidR="008729F9" w:rsidRPr="008729F9" w14:paraId="4D5D95B1"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14DB5EC"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Depasa</w:t>
            </w:r>
          </w:p>
        </w:tc>
        <w:tc>
          <w:tcPr>
            <w:tcW w:w="1426" w:type="dxa"/>
          </w:tcPr>
          <w:p w14:paraId="2D4903B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86,48 </w:t>
            </w:r>
          </w:p>
        </w:tc>
        <w:tc>
          <w:tcPr>
            <w:tcW w:w="1426" w:type="dxa"/>
          </w:tcPr>
          <w:p w14:paraId="65213DC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115,63 </w:t>
            </w:r>
          </w:p>
        </w:tc>
        <w:tc>
          <w:tcPr>
            <w:tcW w:w="1426" w:type="dxa"/>
          </w:tcPr>
          <w:p w14:paraId="474CE100"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268,08 </w:t>
            </w:r>
          </w:p>
        </w:tc>
        <w:tc>
          <w:tcPr>
            <w:tcW w:w="1414" w:type="dxa"/>
          </w:tcPr>
          <w:p w14:paraId="6B609CAE"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333,77 </w:t>
            </w:r>
          </w:p>
        </w:tc>
        <w:tc>
          <w:tcPr>
            <w:tcW w:w="1322" w:type="dxa"/>
          </w:tcPr>
          <w:p w14:paraId="7467BDB0"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458,79 </w:t>
            </w:r>
          </w:p>
        </w:tc>
        <w:tc>
          <w:tcPr>
            <w:tcW w:w="1426" w:type="dxa"/>
          </w:tcPr>
          <w:p w14:paraId="4AE4FA27"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383,14 </w:t>
            </w:r>
          </w:p>
        </w:tc>
      </w:tr>
      <w:tr w:rsidR="008729F9" w:rsidRPr="008729F9" w14:paraId="159251F9"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A4473E1"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Deso</w:t>
            </w:r>
          </w:p>
        </w:tc>
        <w:tc>
          <w:tcPr>
            <w:tcW w:w="1426" w:type="dxa"/>
          </w:tcPr>
          <w:p w14:paraId="4F1E4AA4"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430,41 </w:t>
            </w:r>
          </w:p>
        </w:tc>
        <w:tc>
          <w:tcPr>
            <w:tcW w:w="1426" w:type="dxa"/>
          </w:tcPr>
          <w:p w14:paraId="58224F7E"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463,32 </w:t>
            </w:r>
          </w:p>
        </w:tc>
        <w:tc>
          <w:tcPr>
            <w:tcW w:w="1426" w:type="dxa"/>
          </w:tcPr>
          <w:p w14:paraId="37506D6A"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499,14 </w:t>
            </w:r>
          </w:p>
        </w:tc>
        <w:tc>
          <w:tcPr>
            <w:tcW w:w="1414" w:type="dxa"/>
          </w:tcPr>
          <w:p w14:paraId="238250C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536,44 </w:t>
            </w:r>
          </w:p>
        </w:tc>
        <w:tc>
          <w:tcPr>
            <w:tcW w:w="1322" w:type="dxa"/>
          </w:tcPr>
          <w:p w14:paraId="5961B0E4"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520,27 </w:t>
            </w:r>
          </w:p>
        </w:tc>
        <w:tc>
          <w:tcPr>
            <w:tcW w:w="1426" w:type="dxa"/>
          </w:tcPr>
          <w:p w14:paraId="13CC096D"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467,20 </w:t>
            </w:r>
          </w:p>
        </w:tc>
      </w:tr>
      <w:tr w:rsidR="008729F9" w:rsidRPr="008729F9" w14:paraId="58B3E410"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95F79DA"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Embasa</w:t>
            </w:r>
          </w:p>
        </w:tc>
        <w:tc>
          <w:tcPr>
            <w:tcW w:w="1426" w:type="dxa"/>
          </w:tcPr>
          <w:p w14:paraId="4ED2631B"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1.034,38 </w:t>
            </w:r>
          </w:p>
        </w:tc>
        <w:tc>
          <w:tcPr>
            <w:tcW w:w="1426" w:type="dxa"/>
          </w:tcPr>
          <w:p w14:paraId="7830E48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948,32 </w:t>
            </w:r>
          </w:p>
        </w:tc>
        <w:tc>
          <w:tcPr>
            <w:tcW w:w="1426" w:type="dxa"/>
          </w:tcPr>
          <w:p w14:paraId="06BB7067"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878,03 </w:t>
            </w:r>
          </w:p>
        </w:tc>
        <w:tc>
          <w:tcPr>
            <w:tcW w:w="1414" w:type="dxa"/>
          </w:tcPr>
          <w:p w14:paraId="5FD3C7C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936,84 </w:t>
            </w:r>
          </w:p>
        </w:tc>
        <w:tc>
          <w:tcPr>
            <w:tcW w:w="1322" w:type="dxa"/>
          </w:tcPr>
          <w:p w14:paraId="5AA50001"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1.031,16 </w:t>
            </w:r>
          </w:p>
        </w:tc>
        <w:tc>
          <w:tcPr>
            <w:tcW w:w="1426" w:type="dxa"/>
          </w:tcPr>
          <w:p w14:paraId="06FDFBDC"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1.067,91 </w:t>
            </w:r>
          </w:p>
        </w:tc>
      </w:tr>
      <w:tr w:rsidR="008729F9" w:rsidRPr="008729F9" w14:paraId="05B2FA7F"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8411C0C"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Sabesp</w:t>
            </w:r>
          </w:p>
        </w:tc>
        <w:tc>
          <w:tcPr>
            <w:tcW w:w="1426" w:type="dxa"/>
          </w:tcPr>
          <w:p w14:paraId="44DDB0DB"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1.066,88 </w:t>
            </w:r>
          </w:p>
        </w:tc>
        <w:tc>
          <w:tcPr>
            <w:tcW w:w="1426" w:type="dxa"/>
          </w:tcPr>
          <w:p w14:paraId="07D699C1"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1.108,59 </w:t>
            </w:r>
          </w:p>
        </w:tc>
        <w:tc>
          <w:tcPr>
            <w:tcW w:w="1426" w:type="dxa"/>
          </w:tcPr>
          <w:p w14:paraId="4ED52C92"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1.156,80 </w:t>
            </w:r>
          </w:p>
        </w:tc>
        <w:tc>
          <w:tcPr>
            <w:tcW w:w="1414" w:type="dxa"/>
          </w:tcPr>
          <w:p w14:paraId="631BC45D"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1.188,19 </w:t>
            </w:r>
          </w:p>
        </w:tc>
        <w:tc>
          <w:tcPr>
            <w:tcW w:w="1322" w:type="dxa"/>
          </w:tcPr>
          <w:p w14:paraId="3B491022"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1.245,44 </w:t>
            </w:r>
          </w:p>
        </w:tc>
        <w:tc>
          <w:tcPr>
            <w:tcW w:w="1426" w:type="dxa"/>
          </w:tcPr>
          <w:p w14:paraId="7CFCB4DA"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1.327,20 </w:t>
            </w:r>
          </w:p>
        </w:tc>
      </w:tr>
      <w:tr w:rsidR="008729F9" w:rsidRPr="008729F9" w14:paraId="3FDD11FB"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E4091CF"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Saneago</w:t>
            </w:r>
          </w:p>
        </w:tc>
        <w:tc>
          <w:tcPr>
            <w:tcW w:w="1426" w:type="dxa"/>
          </w:tcPr>
          <w:p w14:paraId="4E268A77"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542,82 </w:t>
            </w:r>
          </w:p>
        </w:tc>
        <w:tc>
          <w:tcPr>
            <w:tcW w:w="1426" w:type="dxa"/>
          </w:tcPr>
          <w:p w14:paraId="379AD005"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557,65 </w:t>
            </w:r>
          </w:p>
        </w:tc>
        <w:tc>
          <w:tcPr>
            <w:tcW w:w="1426" w:type="dxa"/>
          </w:tcPr>
          <w:p w14:paraId="492B3305"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592,83 </w:t>
            </w:r>
          </w:p>
        </w:tc>
        <w:tc>
          <w:tcPr>
            <w:tcW w:w="1414" w:type="dxa"/>
          </w:tcPr>
          <w:p w14:paraId="1951338A"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642,31 </w:t>
            </w:r>
          </w:p>
        </w:tc>
        <w:tc>
          <w:tcPr>
            <w:tcW w:w="1322" w:type="dxa"/>
          </w:tcPr>
          <w:p w14:paraId="5B32FE1D"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634,95 </w:t>
            </w:r>
          </w:p>
        </w:tc>
        <w:tc>
          <w:tcPr>
            <w:tcW w:w="1426" w:type="dxa"/>
          </w:tcPr>
          <w:p w14:paraId="4E4B753A"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596,58 </w:t>
            </w:r>
          </w:p>
        </w:tc>
      </w:tr>
      <w:tr w:rsidR="008729F9" w:rsidRPr="008729F9" w14:paraId="02EB5A70"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F0790D8"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Saneatins</w:t>
            </w:r>
          </w:p>
        </w:tc>
        <w:tc>
          <w:tcPr>
            <w:tcW w:w="1426" w:type="dxa"/>
          </w:tcPr>
          <w:p w14:paraId="004C6CF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248,52 </w:t>
            </w:r>
          </w:p>
        </w:tc>
        <w:tc>
          <w:tcPr>
            <w:tcW w:w="1426" w:type="dxa"/>
          </w:tcPr>
          <w:p w14:paraId="0EFCDF94"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264,74 </w:t>
            </w:r>
          </w:p>
        </w:tc>
        <w:tc>
          <w:tcPr>
            <w:tcW w:w="1426" w:type="dxa"/>
          </w:tcPr>
          <w:p w14:paraId="1619EBD0"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265,79 </w:t>
            </w:r>
          </w:p>
        </w:tc>
        <w:tc>
          <w:tcPr>
            <w:tcW w:w="1414" w:type="dxa"/>
          </w:tcPr>
          <w:p w14:paraId="7B78517F"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275,24 </w:t>
            </w:r>
          </w:p>
        </w:tc>
        <w:tc>
          <w:tcPr>
            <w:tcW w:w="1322" w:type="dxa"/>
          </w:tcPr>
          <w:p w14:paraId="51DB7DB6"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327,52 </w:t>
            </w:r>
          </w:p>
        </w:tc>
        <w:tc>
          <w:tcPr>
            <w:tcW w:w="1426" w:type="dxa"/>
          </w:tcPr>
          <w:p w14:paraId="6C7295D7"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418,67 </w:t>
            </w:r>
          </w:p>
        </w:tc>
      </w:tr>
      <w:tr w:rsidR="008729F9" w:rsidRPr="008729F9" w14:paraId="4B12A433"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9F91B95"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Sanepar</w:t>
            </w:r>
          </w:p>
        </w:tc>
        <w:tc>
          <w:tcPr>
            <w:tcW w:w="1426" w:type="dxa"/>
          </w:tcPr>
          <w:p w14:paraId="04A3F302"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752,62 </w:t>
            </w:r>
          </w:p>
        </w:tc>
        <w:tc>
          <w:tcPr>
            <w:tcW w:w="1426" w:type="dxa"/>
          </w:tcPr>
          <w:p w14:paraId="20AE4FF9"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776,08 </w:t>
            </w:r>
          </w:p>
        </w:tc>
        <w:tc>
          <w:tcPr>
            <w:tcW w:w="1426" w:type="dxa"/>
          </w:tcPr>
          <w:p w14:paraId="5A3EB86E"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788,20 </w:t>
            </w:r>
          </w:p>
        </w:tc>
        <w:tc>
          <w:tcPr>
            <w:tcW w:w="1414" w:type="dxa"/>
          </w:tcPr>
          <w:p w14:paraId="33363DE9"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788,74 </w:t>
            </w:r>
          </w:p>
        </w:tc>
        <w:tc>
          <w:tcPr>
            <w:tcW w:w="1322" w:type="dxa"/>
          </w:tcPr>
          <w:p w14:paraId="42F1E757"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796,94 </w:t>
            </w:r>
          </w:p>
        </w:tc>
        <w:tc>
          <w:tcPr>
            <w:tcW w:w="1426" w:type="dxa"/>
          </w:tcPr>
          <w:p w14:paraId="5544CA53" w14:textId="77777777" w:rsidR="008729F9" w:rsidRPr="00EA348F"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814,68 </w:t>
            </w:r>
          </w:p>
        </w:tc>
      </w:tr>
      <w:tr w:rsidR="008729F9" w:rsidRPr="008729F9" w14:paraId="0D77E432"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5320E66" w14:textId="77777777" w:rsidR="008729F9" w:rsidRPr="00EA348F"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eastAsia="en-US"/>
              </w:rPr>
            </w:pPr>
            <w:r w:rsidRPr="00EA348F">
              <w:rPr>
                <w:rFonts w:eastAsiaTheme="minorHAnsi"/>
                <w:color w:val="000000"/>
                <w:sz w:val="22"/>
                <w:lang w:eastAsia="en-US"/>
              </w:rPr>
              <w:t>Sanesul</w:t>
            </w:r>
          </w:p>
        </w:tc>
        <w:tc>
          <w:tcPr>
            <w:tcW w:w="1426" w:type="dxa"/>
          </w:tcPr>
          <w:p w14:paraId="0C5F18AE"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450,50 </w:t>
            </w:r>
          </w:p>
        </w:tc>
        <w:tc>
          <w:tcPr>
            <w:tcW w:w="1426" w:type="dxa"/>
          </w:tcPr>
          <w:p w14:paraId="37427279"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449,27 </w:t>
            </w:r>
          </w:p>
        </w:tc>
        <w:tc>
          <w:tcPr>
            <w:tcW w:w="1426" w:type="dxa"/>
          </w:tcPr>
          <w:p w14:paraId="0B2E6CB1"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452,30 </w:t>
            </w:r>
          </w:p>
        </w:tc>
        <w:tc>
          <w:tcPr>
            <w:tcW w:w="1414" w:type="dxa"/>
          </w:tcPr>
          <w:p w14:paraId="0F0C88E3"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481,64 </w:t>
            </w:r>
          </w:p>
        </w:tc>
        <w:tc>
          <w:tcPr>
            <w:tcW w:w="1322" w:type="dxa"/>
          </w:tcPr>
          <w:p w14:paraId="6EEC23FC"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479,98 </w:t>
            </w:r>
          </w:p>
        </w:tc>
        <w:tc>
          <w:tcPr>
            <w:tcW w:w="1426" w:type="dxa"/>
          </w:tcPr>
          <w:p w14:paraId="742D6B3C" w14:textId="77777777" w:rsidR="008729F9" w:rsidRPr="00EA348F"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eastAsia="en-US"/>
              </w:rPr>
            </w:pPr>
            <w:r w:rsidRPr="00EA348F">
              <w:rPr>
                <w:rFonts w:eastAsiaTheme="minorHAnsi"/>
                <w:color w:val="000000"/>
                <w:sz w:val="22"/>
                <w:lang w:eastAsia="en-US"/>
              </w:rPr>
              <w:t xml:space="preserve">        465,68 </w:t>
            </w:r>
          </w:p>
        </w:tc>
      </w:tr>
    </w:tbl>
    <w:p w14:paraId="0A9455A2" w14:textId="77777777" w:rsidR="003847A3" w:rsidRPr="00042F25" w:rsidRDefault="003847A3" w:rsidP="003847A3">
      <w:pPr>
        <w:pStyle w:val="Descripcin"/>
        <w:spacing w:before="0" w:beforeAutospacing="0"/>
        <w:jc w:val="left"/>
        <w:rPr>
          <w:sz w:val="20"/>
        </w:rPr>
      </w:pPr>
      <w:r w:rsidRPr="00042F25">
        <w:rPr>
          <w:sz w:val="20"/>
        </w:rPr>
        <w:t>Fonte: SNIS 2015. Elaborado por: GO Associados</w:t>
      </w:r>
    </w:p>
    <w:p w14:paraId="764DFB11" w14:textId="4ADF2817" w:rsidR="007E4835" w:rsidRDefault="007E4835" w:rsidP="007E4835">
      <w:pPr>
        <w:pStyle w:val="Descripcin"/>
      </w:pPr>
      <w:bookmarkStart w:id="33" w:name="_Ref491696354"/>
      <w:bookmarkStart w:id="34" w:name="_Toc493222481"/>
      <w:r w:rsidRPr="00042F25">
        <w:t xml:space="preserve">Quadro </w:t>
      </w:r>
      <w:fldSimple w:instr=" SEQ Quadro \* ARABIC ">
        <w:r w:rsidR="00B64D1C" w:rsidRPr="00042F25">
          <w:rPr>
            <w:noProof/>
          </w:rPr>
          <w:t>18</w:t>
        </w:r>
      </w:fldSimple>
      <w:bookmarkEnd w:id="33"/>
      <w:r w:rsidR="00184C13" w:rsidRPr="00042F25">
        <w:t xml:space="preserve"> – Índice de P</w:t>
      </w:r>
      <w:r w:rsidRPr="00042F25">
        <w:t>rodutividade de Ec</w:t>
      </w:r>
      <w:r w:rsidR="00184C13" w:rsidRPr="00042F25">
        <w:t>onomias Ativas por Pessoal Total</w:t>
      </w:r>
      <w:r w:rsidRPr="00042F25">
        <w:t xml:space="preserve"> (IN019)</w:t>
      </w:r>
      <w:bookmarkEnd w:id="34"/>
    </w:p>
    <w:tbl>
      <w:tblPr>
        <w:tblStyle w:val="Tabladecuadrcula4-nfasis11"/>
        <w:tblW w:w="9934" w:type="dxa"/>
        <w:jc w:val="center"/>
        <w:tblLayout w:type="fixed"/>
        <w:tblLook w:val="04A0" w:firstRow="1" w:lastRow="0" w:firstColumn="1" w:lastColumn="0" w:noHBand="0" w:noVBand="1"/>
      </w:tblPr>
      <w:tblGrid>
        <w:gridCol w:w="1487"/>
        <w:gridCol w:w="1426"/>
        <w:gridCol w:w="1426"/>
        <w:gridCol w:w="1426"/>
        <w:gridCol w:w="1414"/>
        <w:gridCol w:w="1329"/>
        <w:gridCol w:w="1426"/>
      </w:tblGrid>
      <w:tr w:rsidR="008729F9" w14:paraId="2F1621C6" w14:textId="77777777" w:rsidTr="00EA348F">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487" w:type="dxa"/>
          </w:tcPr>
          <w:p w14:paraId="0ADF24D7" w14:textId="77777777" w:rsidR="008729F9" w:rsidRDefault="008729F9">
            <w:pPr>
              <w:autoSpaceDE w:val="0"/>
              <w:autoSpaceDN w:val="0"/>
              <w:adjustRightInd w:val="0"/>
              <w:spacing w:before="0" w:beforeAutospacing="0" w:after="0" w:afterAutospacing="0" w:line="240" w:lineRule="auto"/>
              <w:ind w:firstLine="0"/>
              <w:jc w:val="left"/>
              <w:rPr>
                <w:rFonts w:eastAsiaTheme="minorHAnsi"/>
                <w:b w:val="0"/>
                <w:bCs w:val="0"/>
                <w:color w:val="FFFFFF"/>
                <w:sz w:val="22"/>
                <w:lang w:val="es-CO" w:eastAsia="en-US"/>
              </w:rPr>
            </w:pPr>
            <w:r>
              <w:rPr>
                <w:rFonts w:eastAsiaTheme="minorHAnsi"/>
                <w:b w:val="0"/>
                <w:bCs w:val="0"/>
                <w:color w:val="FFFFFF"/>
                <w:sz w:val="22"/>
                <w:lang w:val="es-CO" w:eastAsia="en-US"/>
              </w:rPr>
              <w:t>Empresa</w:t>
            </w:r>
          </w:p>
        </w:tc>
        <w:tc>
          <w:tcPr>
            <w:tcW w:w="1426" w:type="dxa"/>
          </w:tcPr>
          <w:p w14:paraId="2D950966" w14:textId="77777777" w:rsidR="008729F9"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sz w:val="22"/>
                <w:lang w:val="es-CO" w:eastAsia="en-US"/>
              </w:rPr>
            </w:pPr>
            <w:r>
              <w:rPr>
                <w:rFonts w:eastAsiaTheme="minorHAnsi"/>
                <w:b w:val="0"/>
                <w:bCs w:val="0"/>
                <w:color w:val="FFFFFF"/>
                <w:sz w:val="22"/>
                <w:lang w:val="es-CO" w:eastAsia="en-US"/>
              </w:rPr>
              <w:t>2010</w:t>
            </w:r>
          </w:p>
        </w:tc>
        <w:tc>
          <w:tcPr>
            <w:tcW w:w="1426" w:type="dxa"/>
          </w:tcPr>
          <w:p w14:paraId="499657DC" w14:textId="77777777" w:rsidR="008729F9"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sz w:val="22"/>
                <w:lang w:val="es-CO" w:eastAsia="en-US"/>
              </w:rPr>
            </w:pPr>
            <w:r>
              <w:rPr>
                <w:rFonts w:eastAsiaTheme="minorHAnsi"/>
                <w:b w:val="0"/>
                <w:bCs w:val="0"/>
                <w:color w:val="FFFFFF"/>
                <w:sz w:val="22"/>
                <w:lang w:val="es-CO" w:eastAsia="en-US"/>
              </w:rPr>
              <w:t>2011</w:t>
            </w:r>
          </w:p>
        </w:tc>
        <w:tc>
          <w:tcPr>
            <w:tcW w:w="1426" w:type="dxa"/>
          </w:tcPr>
          <w:p w14:paraId="27B5698A" w14:textId="77777777" w:rsidR="008729F9"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sz w:val="22"/>
                <w:lang w:val="es-CO" w:eastAsia="en-US"/>
              </w:rPr>
            </w:pPr>
            <w:r>
              <w:rPr>
                <w:rFonts w:eastAsiaTheme="minorHAnsi"/>
                <w:b w:val="0"/>
                <w:bCs w:val="0"/>
                <w:color w:val="FFFFFF"/>
                <w:sz w:val="22"/>
                <w:lang w:val="es-CO" w:eastAsia="en-US"/>
              </w:rPr>
              <w:t>2012</w:t>
            </w:r>
          </w:p>
        </w:tc>
        <w:tc>
          <w:tcPr>
            <w:tcW w:w="1414" w:type="dxa"/>
          </w:tcPr>
          <w:p w14:paraId="759EAC12" w14:textId="77777777" w:rsidR="008729F9"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sz w:val="22"/>
                <w:lang w:val="es-CO" w:eastAsia="en-US"/>
              </w:rPr>
            </w:pPr>
            <w:r>
              <w:rPr>
                <w:rFonts w:eastAsiaTheme="minorHAnsi"/>
                <w:b w:val="0"/>
                <w:bCs w:val="0"/>
                <w:color w:val="FFFFFF"/>
                <w:sz w:val="22"/>
                <w:lang w:val="es-CO" w:eastAsia="en-US"/>
              </w:rPr>
              <w:t>2013</w:t>
            </w:r>
          </w:p>
        </w:tc>
        <w:tc>
          <w:tcPr>
            <w:tcW w:w="1329" w:type="dxa"/>
          </w:tcPr>
          <w:p w14:paraId="633C1FAE" w14:textId="77777777" w:rsidR="008729F9"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sz w:val="22"/>
                <w:lang w:val="es-CO" w:eastAsia="en-US"/>
              </w:rPr>
            </w:pPr>
            <w:r>
              <w:rPr>
                <w:rFonts w:eastAsiaTheme="minorHAnsi"/>
                <w:b w:val="0"/>
                <w:bCs w:val="0"/>
                <w:color w:val="FFFFFF"/>
                <w:sz w:val="22"/>
                <w:lang w:val="es-CO" w:eastAsia="en-US"/>
              </w:rPr>
              <w:t>2014</w:t>
            </w:r>
          </w:p>
        </w:tc>
        <w:tc>
          <w:tcPr>
            <w:tcW w:w="1426" w:type="dxa"/>
          </w:tcPr>
          <w:p w14:paraId="14983AD8" w14:textId="77777777" w:rsidR="008729F9" w:rsidRDefault="008729F9">
            <w:pPr>
              <w:autoSpaceDE w:val="0"/>
              <w:autoSpaceDN w:val="0"/>
              <w:adjustRightInd w:val="0"/>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sz w:val="22"/>
                <w:lang w:val="es-CO" w:eastAsia="en-US"/>
              </w:rPr>
            </w:pPr>
            <w:r>
              <w:rPr>
                <w:rFonts w:eastAsiaTheme="minorHAnsi"/>
                <w:b w:val="0"/>
                <w:bCs w:val="0"/>
                <w:color w:val="FFFFFF"/>
                <w:sz w:val="22"/>
                <w:lang w:val="es-CO" w:eastAsia="en-US"/>
              </w:rPr>
              <w:t>2015</w:t>
            </w:r>
          </w:p>
        </w:tc>
      </w:tr>
      <w:tr w:rsidR="008729F9" w14:paraId="43E7877C"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F1A7055"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Agespisa</w:t>
            </w:r>
          </w:p>
        </w:tc>
        <w:tc>
          <w:tcPr>
            <w:tcW w:w="1426" w:type="dxa"/>
          </w:tcPr>
          <w:p w14:paraId="3454710E"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306,92 </w:t>
            </w:r>
          </w:p>
        </w:tc>
        <w:tc>
          <w:tcPr>
            <w:tcW w:w="1426" w:type="dxa"/>
          </w:tcPr>
          <w:p w14:paraId="2681E973"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330,82 </w:t>
            </w:r>
          </w:p>
        </w:tc>
        <w:tc>
          <w:tcPr>
            <w:tcW w:w="1426" w:type="dxa"/>
          </w:tcPr>
          <w:p w14:paraId="60E59F91"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335,05 </w:t>
            </w:r>
          </w:p>
        </w:tc>
        <w:tc>
          <w:tcPr>
            <w:tcW w:w="1414" w:type="dxa"/>
          </w:tcPr>
          <w:p w14:paraId="64275FC1"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344,49 </w:t>
            </w:r>
          </w:p>
        </w:tc>
        <w:tc>
          <w:tcPr>
            <w:tcW w:w="1329" w:type="dxa"/>
          </w:tcPr>
          <w:p w14:paraId="55916666"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364,24 </w:t>
            </w:r>
          </w:p>
        </w:tc>
        <w:tc>
          <w:tcPr>
            <w:tcW w:w="1426" w:type="dxa"/>
          </w:tcPr>
          <w:p w14:paraId="4612377D"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376,21 </w:t>
            </w:r>
          </w:p>
        </w:tc>
      </w:tr>
      <w:tr w:rsidR="008729F9" w14:paraId="4ECBD67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445680E"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Caema</w:t>
            </w:r>
          </w:p>
        </w:tc>
        <w:tc>
          <w:tcPr>
            <w:tcW w:w="1426" w:type="dxa"/>
          </w:tcPr>
          <w:p w14:paraId="15B5A9EB"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304,48 </w:t>
            </w:r>
          </w:p>
        </w:tc>
        <w:tc>
          <w:tcPr>
            <w:tcW w:w="1426" w:type="dxa"/>
          </w:tcPr>
          <w:p w14:paraId="75446520"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331,81 </w:t>
            </w:r>
          </w:p>
        </w:tc>
        <w:tc>
          <w:tcPr>
            <w:tcW w:w="1426" w:type="dxa"/>
          </w:tcPr>
          <w:p w14:paraId="5BE864C6"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324,12 </w:t>
            </w:r>
          </w:p>
        </w:tc>
        <w:tc>
          <w:tcPr>
            <w:tcW w:w="1414" w:type="dxa"/>
          </w:tcPr>
          <w:p w14:paraId="7D6EEC59"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337,60 </w:t>
            </w:r>
          </w:p>
        </w:tc>
        <w:tc>
          <w:tcPr>
            <w:tcW w:w="1329" w:type="dxa"/>
          </w:tcPr>
          <w:p w14:paraId="236E0C2B"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285,13 </w:t>
            </w:r>
          </w:p>
        </w:tc>
        <w:tc>
          <w:tcPr>
            <w:tcW w:w="1426" w:type="dxa"/>
          </w:tcPr>
          <w:p w14:paraId="4FD58E95"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299,00 </w:t>
            </w:r>
          </w:p>
        </w:tc>
      </w:tr>
      <w:tr w:rsidR="008729F9" w14:paraId="1463FB7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CEFD2D2"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Caer</w:t>
            </w:r>
          </w:p>
        </w:tc>
        <w:tc>
          <w:tcPr>
            <w:tcW w:w="1426" w:type="dxa"/>
          </w:tcPr>
          <w:p w14:paraId="1777AD9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221,69 </w:t>
            </w:r>
          </w:p>
        </w:tc>
        <w:tc>
          <w:tcPr>
            <w:tcW w:w="1426" w:type="dxa"/>
          </w:tcPr>
          <w:p w14:paraId="654B3186"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227,35 </w:t>
            </w:r>
          </w:p>
        </w:tc>
        <w:tc>
          <w:tcPr>
            <w:tcW w:w="1426" w:type="dxa"/>
          </w:tcPr>
          <w:p w14:paraId="10B7E05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237,66 </w:t>
            </w:r>
          </w:p>
        </w:tc>
        <w:tc>
          <w:tcPr>
            <w:tcW w:w="1414" w:type="dxa"/>
          </w:tcPr>
          <w:p w14:paraId="79250F7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220,81 </w:t>
            </w:r>
          </w:p>
        </w:tc>
        <w:tc>
          <w:tcPr>
            <w:tcW w:w="1329" w:type="dxa"/>
          </w:tcPr>
          <w:p w14:paraId="1DD0119E"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207,11 </w:t>
            </w:r>
          </w:p>
        </w:tc>
        <w:tc>
          <w:tcPr>
            <w:tcW w:w="1426" w:type="dxa"/>
          </w:tcPr>
          <w:p w14:paraId="5240A0C1"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207,73 </w:t>
            </w:r>
          </w:p>
        </w:tc>
      </w:tr>
      <w:tr w:rsidR="008729F9" w14:paraId="4DBCED26"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AB28E32"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Caerd</w:t>
            </w:r>
          </w:p>
        </w:tc>
        <w:tc>
          <w:tcPr>
            <w:tcW w:w="1426" w:type="dxa"/>
          </w:tcPr>
          <w:p w14:paraId="0F05F41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203,70 </w:t>
            </w:r>
          </w:p>
        </w:tc>
        <w:tc>
          <w:tcPr>
            <w:tcW w:w="1426" w:type="dxa"/>
          </w:tcPr>
          <w:p w14:paraId="7271438F"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173,90 </w:t>
            </w:r>
          </w:p>
        </w:tc>
        <w:tc>
          <w:tcPr>
            <w:tcW w:w="1426" w:type="dxa"/>
          </w:tcPr>
          <w:p w14:paraId="7E39A9CD"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198,14 </w:t>
            </w:r>
          </w:p>
        </w:tc>
        <w:tc>
          <w:tcPr>
            <w:tcW w:w="1414" w:type="dxa"/>
          </w:tcPr>
          <w:p w14:paraId="05340A3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199,54 </w:t>
            </w:r>
          </w:p>
        </w:tc>
        <w:tc>
          <w:tcPr>
            <w:tcW w:w="1329" w:type="dxa"/>
          </w:tcPr>
          <w:p w14:paraId="3877E938"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195,41 </w:t>
            </w:r>
          </w:p>
        </w:tc>
        <w:tc>
          <w:tcPr>
            <w:tcW w:w="1426" w:type="dxa"/>
          </w:tcPr>
          <w:p w14:paraId="6B3AE700"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220,52 </w:t>
            </w:r>
          </w:p>
        </w:tc>
      </w:tr>
      <w:tr w:rsidR="008729F9" w14:paraId="4C52903A"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3E2B846"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Caern</w:t>
            </w:r>
          </w:p>
        </w:tc>
        <w:tc>
          <w:tcPr>
            <w:tcW w:w="1426" w:type="dxa"/>
          </w:tcPr>
          <w:p w14:paraId="0BC43DB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339,59 </w:t>
            </w:r>
          </w:p>
        </w:tc>
        <w:tc>
          <w:tcPr>
            <w:tcW w:w="1426" w:type="dxa"/>
          </w:tcPr>
          <w:p w14:paraId="028102C8"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351,50 </w:t>
            </w:r>
          </w:p>
        </w:tc>
        <w:tc>
          <w:tcPr>
            <w:tcW w:w="1426" w:type="dxa"/>
          </w:tcPr>
          <w:p w14:paraId="2A546FF3"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366,56 </w:t>
            </w:r>
          </w:p>
        </w:tc>
        <w:tc>
          <w:tcPr>
            <w:tcW w:w="1414" w:type="dxa"/>
          </w:tcPr>
          <w:p w14:paraId="0457871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359,26 </w:t>
            </w:r>
          </w:p>
        </w:tc>
        <w:tc>
          <w:tcPr>
            <w:tcW w:w="1329" w:type="dxa"/>
          </w:tcPr>
          <w:p w14:paraId="2CE61E4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339,58 </w:t>
            </w:r>
          </w:p>
        </w:tc>
        <w:tc>
          <w:tcPr>
            <w:tcW w:w="1426" w:type="dxa"/>
          </w:tcPr>
          <w:p w14:paraId="13234D2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339,63 </w:t>
            </w:r>
          </w:p>
        </w:tc>
      </w:tr>
      <w:tr w:rsidR="008729F9" w14:paraId="78EFCA58"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1673E57A"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lastRenderedPageBreak/>
              <w:t>Caesa</w:t>
            </w:r>
          </w:p>
        </w:tc>
        <w:tc>
          <w:tcPr>
            <w:tcW w:w="1426" w:type="dxa"/>
          </w:tcPr>
          <w:p w14:paraId="77373C14"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171,99 </w:t>
            </w:r>
          </w:p>
        </w:tc>
        <w:tc>
          <w:tcPr>
            <w:tcW w:w="1426" w:type="dxa"/>
          </w:tcPr>
          <w:p w14:paraId="1D08C567"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166,44 </w:t>
            </w:r>
          </w:p>
        </w:tc>
        <w:tc>
          <w:tcPr>
            <w:tcW w:w="1426" w:type="dxa"/>
          </w:tcPr>
          <w:p w14:paraId="7489B6E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149,73 </w:t>
            </w:r>
          </w:p>
        </w:tc>
        <w:tc>
          <w:tcPr>
            <w:tcW w:w="1414" w:type="dxa"/>
          </w:tcPr>
          <w:p w14:paraId="623A24B0"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153,87 </w:t>
            </w:r>
          </w:p>
        </w:tc>
        <w:tc>
          <w:tcPr>
            <w:tcW w:w="1329" w:type="dxa"/>
          </w:tcPr>
          <w:p w14:paraId="6B9E687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162,82 </w:t>
            </w:r>
          </w:p>
        </w:tc>
        <w:tc>
          <w:tcPr>
            <w:tcW w:w="1426" w:type="dxa"/>
          </w:tcPr>
          <w:p w14:paraId="3719EEED"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195,86 </w:t>
            </w:r>
          </w:p>
        </w:tc>
      </w:tr>
      <w:tr w:rsidR="008729F9" w14:paraId="5DD8288C"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2232806A"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Caesb</w:t>
            </w:r>
          </w:p>
        </w:tc>
        <w:tc>
          <w:tcPr>
            <w:tcW w:w="1426" w:type="dxa"/>
          </w:tcPr>
          <w:p w14:paraId="06753276"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460,88 </w:t>
            </w:r>
          </w:p>
        </w:tc>
        <w:tc>
          <w:tcPr>
            <w:tcW w:w="1426" w:type="dxa"/>
          </w:tcPr>
          <w:p w14:paraId="591D8513"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482,87 </w:t>
            </w:r>
          </w:p>
        </w:tc>
        <w:tc>
          <w:tcPr>
            <w:tcW w:w="1426" w:type="dxa"/>
          </w:tcPr>
          <w:p w14:paraId="5C870A2F"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520,35 </w:t>
            </w:r>
          </w:p>
        </w:tc>
        <w:tc>
          <w:tcPr>
            <w:tcW w:w="1414" w:type="dxa"/>
          </w:tcPr>
          <w:p w14:paraId="439E9693"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524,30 </w:t>
            </w:r>
          </w:p>
        </w:tc>
        <w:tc>
          <w:tcPr>
            <w:tcW w:w="1329" w:type="dxa"/>
          </w:tcPr>
          <w:p w14:paraId="360355A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537,87 </w:t>
            </w:r>
          </w:p>
        </w:tc>
        <w:tc>
          <w:tcPr>
            <w:tcW w:w="1426" w:type="dxa"/>
          </w:tcPr>
          <w:p w14:paraId="38F9AFC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566,54 </w:t>
            </w:r>
          </w:p>
        </w:tc>
      </w:tr>
      <w:tr w:rsidR="008729F9" w14:paraId="7C90B47A"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8986DDB"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Cagece</w:t>
            </w:r>
          </w:p>
        </w:tc>
        <w:tc>
          <w:tcPr>
            <w:tcW w:w="1426" w:type="dxa"/>
          </w:tcPr>
          <w:p w14:paraId="1ABB5316"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731,50 </w:t>
            </w:r>
          </w:p>
        </w:tc>
        <w:tc>
          <w:tcPr>
            <w:tcW w:w="1426" w:type="dxa"/>
          </w:tcPr>
          <w:p w14:paraId="1F6F3562"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673,34 </w:t>
            </w:r>
          </w:p>
        </w:tc>
        <w:tc>
          <w:tcPr>
            <w:tcW w:w="1426" w:type="dxa"/>
          </w:tcPr>
          <w:p w14:paraId="085FA189"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747,15 </w:t>
            </w:r>
          </w:p>
        </w:tc>
        <w:tc>
          <w:tcPr>
            <w:tcW w:w="1414" w:type="dxa"/>
          </w:tcPr>
          <w:p w14:paraId="57C4A955"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728,91 </w:t>
            </w:r>
          </w:p>
        </w:tc>
        <w:tc>
          <w:tcPr>
            <w:tcW w:w="1329" w:type="dxa"/>
          </w:tcPr>
          <w:p w14:paraId="2EA1144C"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847,95 </w:t>
            </w:r>
          </w:p>
        </w:tc>
        <w:tc>
          <w:tcPr>
            <w:tcW w:w="1426" w:type="dxa"/>
          </w:tcPr>
          <w:p w14:paraId="74946918"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781,09 </w:t>
            </w:r>
          </w:p>
        </w:tc>
      </w:tr>
      <w:tr w:rsidR="008729F9" w14:paraId="48C8A86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668A8C6"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Cagepa</w:t>
            </w:r>
          </w:p>
        </w:tc>
        <w:tc>
          <w:tcPr>
            <w:tcW w:w="1426" w:type="dxa"/>
          </w:tcPr>
          <w:p w14:paraId="081FA8E6"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266,17 </w:t>
            </w:r>
          </w:p>
        </w:tc>
        <w:tc>
          <w:tcPr>
            <w:tcW w:w="1426" w:type="dxa"/>
          </w:tcPr>
          <w:p w14:paraId="419F216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276,41 </w:t>
            </w:r>
          </w:p>
        </w:tc>
        <w:tc>
          <w:tcPr>
            <w:tcW w:w="1426" w:type="dxa"/>
          </w:tcPr>
          <w:p w14:paraId="10D209F9"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277,31 </w:t>
            </w:r>
          </w:p>
        </w:tc>
        <w:tc>
          <w:tcPr>
            <w:tcW w:w="1414" w:type="dxa"/>
          </w:tcPr>
          <w:p w14:paraId="64D551D9"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283,45 </w:t>
            </w:r>
          </w:p>
        </w:tc>
        <w:tc>
          <w:tcPr>
            <w:tcW w:w="1329" w:type="dxa"/>
          </w:tcPr>
          <w:p w14:paraId="66B1DB1B"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307,28 </w:t>
            </w:r>
          </w:p>
        </w:tc>
        <w:tc>
          <w:tcPr>
            <w:tcW w:w="1426" w:type="dxa"/>
          </w:tcPr>
          <w:p w14:paraId="502F7C84"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315,22 </w:t>
            </w:r>
          </w:p>
        </w:tc>
      </w:tr>
      <w:tr w:rsidR="008729F9" w14:paraId="2D589785"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4F11FBA"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Casal</w:t>
            </w:r>
          </w:p>
        </w:tc>
        <w:tc>
          <w:tcPr>
            <w:tcW w:w="1426" w:type="dxa"/>
          </w:tcPr>
          <w:p w14:paraId="415B1822"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218,39 </w:t>
            </w:r>
          </w:p>
        </w:tc>
        <w:tc>
          <w:tcPr>
            <w:tcW w:w="1426" w:type="dxa"/>
          </w:tcPr>
          <w:p w14:paraId="5EB9A9F7"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295,42 </w:t>
            </w:r>
          </w:p>
        </w:tc>
        <w:tc>
          <w:tcPr>
            <w:tcW w:w="1426" w:type="dxa"/>
          </w:tcPr>
          <w:p w14:paraId="13BA4BDD"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277,16 </w:t>
            </w:r>
          </w:p>
        </w:tc>
        <w:tc>
          <w:tcPr>
            <w:tcW w:w="1414" w:type="dxa"/>
          </w:tcPr>
          <w:p w14:paraId="6CFD1CAC"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236,35 </w:t>
            </w:r>
          </w:p>
        </w:tc>
        <w:tc>
          <w:tcPr>
            <w:tcW w:w="1329" w:type="dxa"/>
          </w:tcPr>
          <w:p w14:paraId="4541E5F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253,83 </w:t>
            </w:r>
          </w:p>
        </w:tc>
        <w:tc>
          <w:tcPr>
            <w:tcW w:w="1426" w:type="dxa"/>
          </w:tcPr>
          <w:p w14:paraId="0C1F71AC"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309,20 </w:t>
            </w:r>
          </w:p>
        </w:tc>
      </w:tr>
      <w:tr w:rsidR="008729F9" w14:paraId="6C3CBE06"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AB9A075"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Casan</w:t>
            </w:r>
          </w:p>
        </w:tc>
        <w:tc>
          <w:tcPr>
            <w:tcW w:w="1426" w:type="dxa"/>
          </w:tcPr>
          <w:p w14:paraId="7E4D8BDB"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394,19 </w:t>
            </w:r>
          </w:p>
        </w:tc>
        <w:tc>
          <w:tcPr>
            <w:tcW w:w="1426" w:type="dxa"/>
          </w:tcPr>
          <w:p w14:paraId="7FFB4B36"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396,36 </w:t>
            </w:r>
          </w:p>
        </w:tc>
        <w:tc>
          <w:tcPr>
            <w:tcW w:w="1426" w:type="dxa"/>
          </w:tcPr>
          <w:p w14:paraId="66816428"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403,01 </w:t>
            </w:r>
          </w:p>
        </w:tc>
        <w:tc>
          <w:tcPr>
            <w:tcW w:w="1414" w:type="dxa"/>
          </w:tcPr>
          <w:p w14:paraId="0CEC3105"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402,43 </w:t>
            </w:r>
          </w:p>
        </w:tc>
        <w:tc>
          <w:tcPr>
            <w:tcW w:w="1329" w:type="dxa"/>
          </w:tcPr>
          <w:p w14:paraId="5C21422A"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377,14 </w:t>
            </w:r>
          </w:p>
        </w:tc>
        <w:tc>
          <w:tcPr>
            <w:tcW w:w="1426" w:type="dxa"/>
          </w:tcPr>
          <w:p w14:paraId="02F42BB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372,93 </w:t>
            </w:r>
          </w:p>
        </w:tc>
      </w:tr>
      <w:tr w:rsidR="008729F9" w14:paraId="36223E14"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152EA22"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Cedae</w:t>
            </w:r>
          </w:p>
        </w:tc>
        <w:tc>
          <w:tcPr>
            <w:tcW w:w="1426" w:type="dxa"/>
          </w:tcPr>
          <w:p w14:paraId="14ED1829"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525,71 </w:t>
            </w:r>
          </w:p>
        </w:tc>
        <w:tc>
          <w:tcPr>
            <w:tcW w:w="1426" w:type="dxa"/>
          </w:tcPr>
          <w:p w14:paraId="66C48F78"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639,69 </w:t>
            </w:r>
          </w:p>
        </w:tc>
        <w:tc>
          <w:tcPr>
            <w:tcW w:w="1426" w:type="dxa"/>
          </w:tcPr>
          <w:p w14:paraId="1DC0DFBD"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643,86 </w:t>
            </w:r>
          </w:p>
        </w:tc>
        <w:tc>
          <w:tcPr>
            <w:tcW w:w="1414" w:type="dxa"/>
          </w:tcPr>
          <w:p w14:paraId="0B5413C7"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654,84 </w:t>
            </w:r>
          </w:p>
        </w:tc>
        <w:tc>
          <w:tcPr>
            <w:tcW w:w="1329" w:type="dxa"/>
          </w:tcPr>
          <w:p w14:paraId="33878306"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659,89 </w:t>
            </w:r>
          </w:p>
        </w:tc>
        <w:tc>
          <w:tcPr>
            <w:tcW w:w="1426" w:type="dxa"/>
          </w:tcPr>
          <w:p w14:paraId="70BA4CD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698,32 </w:t>
            </w:r>
          </w:p>
        </w:tc>
      </w:tr>
      <w:tr w:rsidR="008729F9" w14:paraId="041D430E"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AB44FD1"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Cesan</w:t>
            </w:r>
          </w:p>
        </w:tc>
        <w:tc>
          <w:tcPr>
            <w:tcW w:w="1426" w:type="dxa"/>
          </w:tcPr>
          <w:p w14:paraId="5266FADD"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408,39 </w:t>
            </w:r>
          </w:p>
        </w:tc>
        <w:tc>
          <w:tcPr>
            <w:tcW w:w="1426" w:type="dxa"/>
          </w:tcPr>
          <w:p w14:paraId="53B2C66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376,78 </w:t>
            </w:r>
          </w:p>
        </w:tc>
        <w:tc>
          <w:tcPr>
            <w:tcW w:w="1426" w:type="dxa"/>
          </w:tcPr>
          <w:p w14:paraId="0C7145C4"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403,25 </w:t>
            </w:r>
          </w:p>
        </w:tc>
        <w:tc>
          <w:tcPr>
            <w:tcW w:w="1414" w:type="dxa"/>
          </w:tcPr>
          <w:p w14:paraId="708E317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438,33 </w:t>
            </w:r>
          </w:p>
        </w:tc>
        <w:tc>
          <w:tcPr>
            <w:tcW w:w="1329" w:type="dxa"/>
          </w:tcPr>
          <w:p w14:paraId="1A0C841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423,32 </w:t>
            </w:r>
          </w:p>
        </w:tc>
        <w:tc>
          <w:tcPr>
            <w:tcW w:w="1426" w:type="dxa"/>
          </w:tcPr>
          <w:p w14:paraId="6D342285"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470,02 </w:t>
            </w:r>
          </w:p>
        </w:tc>
      </w:tr>
      <w:tr w:rsidR="008729F9" w14:paraId="45F1DEEF"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1A21194"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Compesa</w:t>
            </w:r>
          </w:p>
        </w:tc>
        <w:tc>
          <w:tcPr>
            <w:tcW w:w="1426" w:type="dxa"/>
          </w:tcPr>
          <w:p w14:paraId="71893C05"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310,19 </w:t>
            </w:r>
          </w:p>
        </w:tc>
        <w:tc>
          <w:tcPr>
            <w:tcW w:w="1426" w:type="dxa"/>
          </w:tcPr>
          <w:p w14:paraId="38D08354"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337,08 </w:t>
            </w:r>
          </w:p>
        </w:tc>
        <w:tc>
          <w:tcPr>
            <w:tcW w:w="1426" w:type="dxa"/>
          </w:tcPr>
          <w:p w14:paraId="324AFC91"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336,59 </w:t>
            </w:r>
          </w:p>
        </w:tc>
        <w:tc>
          <w:tcPr>
            <w:tcW w:w="1414" w:type="dxa"/>
          </w:tcPr>
          <w:p w14:paraId="01C8125C"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327,78 </w:t>
            </w:r>
          </w:p>
        </w:tc>
        <w:tc>
          <w:tcPr>
            <w:tcW w:w="1329" w:type="dxa"/>
          </w:tcPr>
          <w:p w14:paraId="7374F211"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371,61 </w:t>
            </w:r>
          </w:p>
        </w:tc>
        <w:tc>
          <w:tcPr>
            <w:tcW w:w="1426" w:type="dxa"/>
          </w:tcPr>
          <w:p w14:paraId="68775B2E"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349,97 </w:t>
            </w:r>
          </w:p>
        </w:tc>
      </w:tr>
      <w:tr w:rsidR="008729F9" w14:paraId="5627861A"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B024DE3"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Copasa</w:t>
            </w:r>
          </w:p>
        </w:tc>
        <w:tc>
          <w:tcPr>
            <w:tcW w:w="1426" w:type="dxa"/>
          </w:tcPr>
          <w:p w14:paraId="5273003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443,27 </w:t>
            </w:r>
          </w:p>
        </w:tc>
        <w:tc>
          <w:tcPr>
            <w:tcW w:w="1426" w:type="dxa"/>
          </w:tcPr>
          <w:p w14:paraId="20DC1679"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463,19 </w:t>
            </w:r>
          </w:p>
        </w:tc>
        <w:tc>
          <w:tcPr>
            <w:tcW w:w="1426" w:type="dxa"/>
          </w:tcPr>
          <w:p w14:paraId="3656E74A"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475,76 </w:t>
            </w:r>
          </w:p>
        </w:tc>
        <w:tc>
          <w:tcPr>
            <w:tcW w:w="1414" w:type="dxa"/>
          </w:tcPr>
          <w:p w14:paraId="3EF3D8BA"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473,47 </w:t>
            </w:r>
          </w:p>
        </w:tc>
        <w:tc>
          <w:tcPr>
            <w:tcW w:w="1329" w:type="dxa"/>
          </w:tcPr>
          <w:p w14:paraId="2BCE1F0E"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487,59 </w:t>
            </w:r>
          </w:p>
        </w:tc>
        <w:tc>
          <w:tcPr>
            <w:tcW w:w="1426" w:type="dxa"/>
          </w:tcPr>
          <w:p w14:paraId="1D8A1A81"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534,16 </w:t>
            </w:r>
          </w:p>
        </w:tc>
      </w:tr>
      <w:tr w:rsidR="008729F9" w14:paraId="6E500B65"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455078F9"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Corsan</w:t>
            </w:r>
          </w:p>
        </w:tc>
        <w:tc>
          <w:tcPr>
            <w:tcW w:w="1426" w:type="dxa"/>
          </w:tcPr>
          <w:p w14:paraId="3B3DC704"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484,17 </w:t>
            </w:r>
          </w:p>
        </w:tc>
        <w:tc>
          <w:tcPr>
            <w:tcW w:w="1426" w:type="dxa"/>
          </w:tcPr>
          <w:p w14:paraId="4C08C722"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603,03 </w:t>
            </w:r>
          </w:p>
        </w:tc>
        <w:tc>
          <w:tcPr>
            <w:tcW w:w="1426" w:type="dxa"/>
          </w:tcPr>
          <w:p w14:paraId="07CC45A9"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610,60 </w:t>
            </w:r>
          </w:p>
        </w:tc>
        <w:tc>
          <w:tcPr>
            <w:tcW w:w="1414" w:type="dxa"/>
          </w:tcPr>
          <w:p w14:paraId="429923DC"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478,32 </w:t>
            </w:r>
          </w:p>
        </w:tc>
        <w:tc>
          <w:tcPr>
            <w:tcW w:w="1329" w:type="dxa"/>
          </w:tcPr>
          <w:p w14:paraId="080182FF"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436,33 </w:t>
            </w:r>
          </w:p>
        </w:tc>
        <w:tc>
          <w:tcPr>
            <w:tcW w:w="1426" w:type="dxa"/>
          </w:tcPr>
          <w:p w14:paraId="3D0B1C78"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473,40 </w:t>
            </w:r>
          </w:p>
        </w:tc>
      </w:tr>
      <w:tr w:rsidR="008729F9" w14:paraId="6380767F"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FD21FCD"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Cosanpa</w:t>
            </w:r>
          </w:p>
        </w:tc>
        <w:tc>
          <w:tcPr>
            <w:tcW w:w="1426" w:type="dxa"/>
          </w:tcPr>
          <w:p w14:paraId="0B1AA39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255,32 </w:t>
            </w:r>
          </w:p>
        </w:tc>
        <w:tc>
          <w:tcPr>
            <w:tcW w:w="1426" w:type="dxa"/>
          </w:tcPr>
          <w:p w14:paraId="1801859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261,49 </w:t>
            </w:r>
          </w:p>
        </w:tc>
        <w:tc>
          <w:tcPr>
            <w:tcW w:w="1426" w:type="dxa"/>
          </w:tcPr>
          <w:p w14:paraId="0D6F714A"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257,99 </w:t>
            </w:r>
          </w:p>
        </w:tc>
        <w:tc>
          <w:tcPr>
            <w:tcW w:w="1414" w:type="dxa"/>
          </w:tcPr>
          <w:p w14:paraId="0759DF88"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243,72 </w:t>
            </w:r>
          </w:p>
        </w:tc>
        <w:tc>
          <w:tcPr>
            <w:tcW w:w="1329" w:type="dxa"/>
          </w:tcPr>
          <w:p w14:paraId="1DE1080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265,30 </w:t>
            </w:r>
          </w:p>
        </w:tc>
        <w:tc>
          <w:tcPr>
            <w:tcW w:w="1426" w:type="dxa"/>
          </w:tcPr>
          <w:p w14:paraId="5CFCA63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306,98 </w:t>
            </w:r>
          </w:p>
        </w:tc>
      </w:tr>
      <w:tr w:rsidR="008729F9" w14:paraId="10983770"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24ED807"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Depasa</w:t>
            </w:r>
          </w:p>
        </w:tc>
        <w:tc>
          <w:tcPr>
            <w:tcW w:w="1426" w:type="dxa"/>
          </w:tcPr>
          <w:p w14:paraId="35C261FB"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75,93 </w:t>
            </w:r>
          </w:p>
        </w:tc>
        <w:tc>
          <w:tcPr>
            <w:tcW w:w="1426" w:type="dxa"/>
          </w:tcPr>
          <w:p w14:paraId="7D35A110"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78,67 </w:t>
            </w:r>
          </w:p>
        </w:tc>
        <w:tc>
          <w:tcPr>
            <w:tcW w:w="1426" w:type="dxa"/>
          </w:tcPr>
          <w:p w14:paraId="0D70DC9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127,06 </w:t>
            </w:r>
          </w:p>
        </w:tc>
        <w:tc>
          <w:tcPr>
            <w:tcW w:w="1414" w:type="dxa"/>
          </w:tcPr>
          <w:p w14:paraId="3DCAAD5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230,50 </w:t>
            </w:r>
          </w:p>
        </w:tc>
        <w:tc>
          <w:tcPr>
            <w:tcW w:w="1329" w:type="dxa"/>
          </w:tcPr>
          <w:p w14:paraId="23680C4A"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304,73 </w:t>
            </w:r>
          </w:p>
        </w:tc>
        <w:tc>
          <w:tcPr>
            <w:tcW w:w="1426" w:type="dxa"/>
          </w:tcPr>
          <w:p w14:paraId="69AC4321"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304,61 </w:t>
            </w:r>
          </w:p>
        </w:tc>
      </w:tr>
      <w:tr w:rsidR="008729F9" w14:paraId="2E9A6628"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A936D20"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Deso</w:t>
            </w:r>
          </w:p>
        </w:tc>
        <w:tc>
          <w:tcPr>
            <w:tcW w:w="1426" w:type="dxa"/>
          </w:tcPr>
          <w:p w14:paraId="44CE2942"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294,56 </w:t>
            </w:r>
          </w:p>
        </w:tc>
        <w:tc>
          <w:tcPr>
            <w:tcW w:w="1426" w:type="dxa"/>
          </w:tcPr>
          <w:p w14:paraId="3411B181"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321,41 </w:t>
            </w:r>
          </w:p>
        </w:tc>
        <w:tc>
          <w:tcPr>
            <w:tcW w:w="1426" w:type="dxa"/>
          </w:tcPr>
          <w:p w14:paraId="25D36440"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359,47 </w:t>
            </w:r>
          </w:p>
        </w:tc>
        <w:tc>
          <w:tcPr>
            <w:tcW w:w="1414" w:type="dxa"/>
          </w:tcPr>
          <w:p w14:paraId="39B9C28B"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367,43 </w:t>
            </w:r>
          </w:p>
        </w:tc>
        <w:tc>
          <w:tcPr>
            <w:tcW w:w="1329" w:type="dxa"/>
          </w:tcPr>
          <w:p w14:paraId="2669196D"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355,40 </w:t>
            </w:r>
          </w:p>
        </w:tc>
        <w:tc>
          <w:tcPr>
            <w:tcW w:w="1426" w:type="dxa"/>
          </w:tcPr>
          <w:p w14:paraId="290136A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326,52 </w:t>
            </w:r>
          </w:p>
        </w:tc>
      </w:tr>
      <w:tr w:rsidR="008729F9" w14:paraId="633447E3"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744DDCED"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Embasa</w:t>
            </w:r>
          </w:p>
        </w:tc>
        <w:tc>
          <w:tcPr>
            <w:tcW w:w="1426" w:type="dxa"/>
          </w:tcPr>
          <w:p w14:paraId="6A216C7A"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507,92 </w:t>
            </w:r>
          </w:p>
        </w:tc>
        <w:tc>
          <w:tcPr>
            <w:tcW w:w="1426" w:type="dxa"/>
          </w:tcPr>
          <w:p w14:paraId="1F4B723E"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490,61 </w:t>
            </w:r>
          </w:p>
        </w:tc>
        <w:tc>
          <w:tcPr>
            <w:tcW w:w="1426" w:type="dxa"/>
          </w:tcPr>
          <w:p w14:paraId="2C6A79E9"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472,28 </w:t>
            </w:r>
          </w:p>
        </w:tc>
        <w:tc>
          <w:tcPr>
            <w:tcW w:w="1414" w:type="dxa"/>
          </w:tcPr>
          <w:p w14:paraId="0BD39AC4"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503,45 </w:t>
            </w:r>
          </w:p>
        </w:tc>
        <w:tc>
          <w:tcPr>
            <w:tcW w:w="1329" w:type="dxa"/>
          </w:tcPr>
          <w:p w14:paraId="4FE510BE"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531,02 </w:t>
            </w:r>
          </w:p>
        </w:tc>
        <w:tc>
          <w:tcPr>
            <w:tcW w:w="1426" w:type="dxa"/>
          </w:tcPr>
          <w:p w14:paraId="21C02410"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528,06 </w:t>
            </w:r>
          </w:p>
        </w:tc>
      </w:tr>
      <w:tr w:rsidR="008729F9" w14:paraId="559E5A44"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67B6B3A4"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Sabesp</w:t>
            </w:r>
          </w:p>
        </w:tc>
        <w:tc>
          <w:tcPr>
            <w:tcW w:w="1426" w:type="dxa"/>
          </w:tcPr>
          <w:p w14:paraId="67169529"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637,88 </w:t>
            </w:r>
          </w:p>
        </w:tc>
        <w:tc>
          <w:tcPr>
            <w:tcW w:w="1426" w:type="dxa"/>
          </w:tcPr>
          <w:p w14:paraId="68652606"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716,95 </w:t>
            </w:r>
          </w:p>
        </w:tc>
        <w:tc>
          <w:tcPr>
            <w:tcW w:w="1426" w:type="dxa"/>
          </w:tcPr>
          <w:p w14:paraId="0B70B61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714,72 </w:t>
            </w:r>
          </w:p>
        </w:tc>
        <w:tc>
          <w:tcPr>
            <w:tcW w:w="1414" w:type="dxa"/>
          </w:tcPr>
          <w:p w14:paraId="7E07024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753,80 </w:t>
            </w:r>
          </w:p>
        </w:tc>
        <w:tc>
          <w:tcPr>
            <w:tcW w:w="1329" w:type="dxa"/>
          </w:tcPr>
          <w:p w14:paraId="6DF00B4D"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783,85 </w:t>
            </w:r>
          </w:p>
        </w:tc>
        <w:tc>
          <w:tcPr>
            <w:tcW w:w="1426" w:type="dxa"/>
          </w:tcPr>
          <w:p w14:paraId="2CEE862E"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885,77 </w:t>
            </w:r>
          </w:p>
        </w:tc>
      </w:tr>
      <w:tr w:rsidR="008729F9" w14:paraId="0D3016C1"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6F9CE73"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Saneago</w:t>
            </w:r>
          </w:p>
        </w:tc>
        <w:tc>
          <w:tcPr>
            <w:tcW w:w="1426" w:type="dxa"/>
          </w:tcPr>
          <w:p w14:paraId="2871F34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380,09 </w:t>
            </w:r>
          </w:p>
        </w:tc>
        <w:tc>
          <w:tcPr>
            <w:tcW w:w="1426" w:type="dxa"/>
          </w:tcPr>
          <w:p w14:paraId="368E10E1"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453,56 </w:t>
            </w:r>
          </w:p>
        </w:tc>
        <w:tc>
          <w:tcPr>
            <w:tcW w:w="1426" w:type="dxa"/>
          </w:tcPr>
          <w:p w14:paraId="032A62C8"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485,34 </w:t>
            </w:r>
          </w:p>
        </w:tc>
        <w:tc>
          <w:tcPr>
            <w:tcW w:w="1414" w:type="dxa"/>
          </w:tcPr>
          <w:p w14:paraId="0C1C3A5F"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520,89 </w:t>
            </w:r>
          </w:p>
        </w:tc>
        <w:tc>
          <w:tcPr>
            <w:tcW w:w="1329" w:type="dxa"/>
          </w:tcPr>
          <w:p w14:paraId="31F80C55"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505,48 </w:t>
            </w:r>
          </w:p>
        </w:tc>
        <w:tc>
          <w:tcPr>
            <w:tcW w:w="1426" w:type="dxa"/>
          </w:tcPr>
          <w:p w14:paraId="13FDDDBB"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486,58 </w:t>
            </w:r>
          </w:p>
        </w:tc>
      </w:tr>
      <w:tr w:rsidR="008729F9" w14:paraId="229C0242"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08E5B4B5"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Saneatins</w:t>
            </w:r>
          </w:p>
        </w:tc>
        <w:tc>
          <w:tcPr>
            <w:tcW w:w="1426" w:type="dxa"/>
          </w:tcPr>
          <w:p w14:paraId="6F5243A1"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178,39 </w:t>
            </w:r>
          </w:p>
        </w:tc>
        <w:tc>
          <w:tcPr>
            <w:tcW w:w="1426" w:type="dxa"/>
          </w:tcPr>
          <w:p w14:paraId="41F95EB4"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188,43 </w:t>
            </w:r>
          </w:p>
        </w:tc>
        <w:tc>
          <w:tcPr>
            <w:tcW w:w="1426" w:type="dxa"/>
          </w:tcPr>
          <w:p w14:paraId="16B2EE25"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71,86 </w:t>
            </w:r>
          </w:p>
        </w:tc>
        <w:tc>
          <w:tcPr>
            <w:tcW w:w="1414" w:type="dxa"/>
          </w:tcPr>
          <w:p w14:paraId="6966B13E"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202,51 </w:t>
            </w:r>
          </w:p>
        </w:tc>
        <w:tc>
          <w:tcPr>
            <w:tcW w:w="1329" w:type="dxa"/>
          </w:tcPr>
          <w:p w14:paraId="23AA9362"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252,15 </w:t>
            </w:r>
          </w:p>
        </w:tc>
        <w:tc>
          <w:tcPr>
            <w:tcW w:w="1426" w:type="dxa"/>
          </w:tcPr>
          <w:p w14:paraId="61E4D3BE"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275,09 </w:t>
            </w:r>
          </w:p>
        </w:tc>
      </w:tr>
      <w:tr w:rsidR="008729F9" w14:paraId="72FBBD8C" w14:textId="77777777" w:rsidTr="00EA348F">
        <w:trPr>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560F5679"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Sanepar</w:t>
            </w:r>
          </w:p>
        </w:tc>
        <w:tc>
          <w:tcPr>
            <w:tcW w:w="1426" w:type="dxa"/>
          </w:tcPr>
          <w:p w14:paraId="25753826"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526,43 </w:t>
            </w:r>
          </w:p>
        </w:tc>
        <w:tc>
          <w:tcPr>
            <w:tcW w:w="1426" w:type="dxa"/>
          </w:tcPr>
          <w:p w14:paraId="1CF7DBA1"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553,16 </w:t>
            </w:r>
          </w:p>
        </w:tc>
        <w:tc>
          <w:tcPr>
            <w:tcW w:w="1426" w:type="dxa"/>
          </w:tcPr>
          <w:p w14:paraId="6BB17073"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487,66 </w:t>
            </w:r>
          </w:p>
        </w:tc>
        <w:tc>
          <w:tcPr>
            <w:tcW w:w="1414" w:type="dxa"/>
          </w:tcPr>
          <w:p w14:paraId="1133D820"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534,84 </w:t>
            </w:r>
          </w:p>
        </w:tc>
        <w:tc>
          <w:tcPr>
            <w:tcW w:w="1329" w:type="dxa"/>
          </w:tcPr>
          <w:p w14:paraId="0CF71048"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518,83 </w:t>
            </w:r>
          </w:p>
        </w:tc>
        <w:tc>
          <w:tcPr>
            <w:tcW w:w="1426" w:type="dxa"/>
          </w:tcPr>
          <w:p w14:paraId="7D3846A9" w14:textId="77777777" w:rsidR="008729F9" w:rsidRDefault="008729F9">
            <w:pPr>
              <w:autoSpaceDE w:val="0"/>
              <w:autoSpaceDN w:val="0"/>
              <w:adjustRightInd w:val="0"/>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552,47 </w:t>
            </w:r>
          </w:p>
        </w:tc>
      </w:tr>
      <w:tr w:rsidR="008729F9" w14:paraId="217591A5" w14:textId="77777777" w:rsidTr="00EA348F">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87" w:type="dxa"/>
          </w:tcPr>
          <w:p w14:paraId="3EA3A350" w14:textId="77777777" w:rsidR="008729F9" w:rsidRDefault="008729F9">
            <w:pPr>
              <w:autoSpaceDE w:val="0"/>
              <w:autoSpaceDN w:val="0"/>
              <w:adjustRightInd w:val="0"/>
              <w:spacing w:before="0" w:beforeAutospacing="0" w:after="0" w:afterAutospacing="0" w:line="240" w:lineRule="auto"/>
              <w:ind w:firstLine="0"/>
              <w:jc w:val="left"/>
              <w:rPr>
                <w:rFonts w:eastAsiaTheme="minorHAnsi"/>
                <w:color w:val="000000"/>
                <w:sz w:val="22"/>
                <w:lang w:val="es-CO" w:eastAsia="en-US"/>
              </w:rPr>
            </w:pPr>
            <w:r>
              <w:rPr>
                <w:rFonts w:eastAsiaTheme="minorHAnsi"/>
                <w:color w:val="000000"/>
                <w:sz w:val="22"/>
                <w:lang w:val="es-CO" w:eastAsia="en-US"/>
              </w:rPr>
              <w:t>Sanesul</w:t>
            </w:r>
          </w:p>
        </w:tc>
        <w:tc>
          <w:tcPr>
            <w:tcW w:w="1426" w:type="dxa"/>
          </w:tcPr>
          <w:p w14:paraId="26BD0CDB"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245,01 </w:t>
            </w:r>
          </w:p>
        </w:tc>
        <w:tc>
          <w:tcPr>
            <w:tcW w:w="1426" w:type="dxa"/>
          </w:tcPr>
          <w:p w14:paraId="3DA2EA6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273,25 </w:t>
            </w:r>
          </w:p>
        </w:tc>
        <w:tc>
          <w:tcPr>
            <w:tcW w:w="1426" w:type="dxa"/>
          </w:tcPr>
          <w:p w14:paraId="2E0737C7"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286,71 </w:t>
            </w:r>
          </w:p>
        </w:tc>
        <w:tc>
          <w:tcPr>
            <w:tcW w:w="1414" w:type="dxa"/>
          </w:tcPr>
          <w:p w14:paraId="65F39645"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292,52 </w:t>
            </w:r>
          </w:p>
        </w:tc>
        <w:tc>
          <w:tcPr>
            <w:tcW w:w="1329" w:type="dxa"/>
          </w:tcPr>
          <w:p w14:paraId="4CD8D21F"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273,75 </w:t>
            </w:r>
          </w:p>
        </w:tc>
        <w:tc>
          <w:tcPr>
            <w:tcW w:w="1426" w:type="dxa"/>
          </w:tcPr>
          <w:p w14:paraId="3501CF2C" w14:textId="77777777" w:rsidR="008729F9" w:rsidRDefault="008729F9">
            <w:pPr>
              <w:autoSpaceDE w:val="0"/>
              <w:autoSpaceDN w:val="0"/>
              <w:adjustRightInd w:val="0"/>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heme="minorHAnsi"/>
                <w:color w:val="000000"/>
                <w:sz w:val="22"/>
                <w:lang w:val="es-CO" w:eastAsia="en-US"/>
              </w:rPr>
            </w:pPr>
            <w:r>
              <w:rPr>
                <w:rFonts w:eastAsiaTheme="minorHAnsi"/>
                <w:color w:val="000000"/>
                <w:sz w:val="22"/>
                <w:lang w:val="es-CO" w:eastAsia="en-US"/>
              </w:rPr>
              <w:t xml:space="preserve">        287,08 </w:t>
            </w:r>
          </w:p>
        </w:tc>
      </w:tr>
    </w:tbl>
    <w:p w14:paraId="5E727663" w14:textId="77777777" w:rsidR="007E4835" w:rsidRPr="00042F25" w:rsidRDefault="007E4835" w:rsidP="007E4835">
      <w:pPr>
        <w:pStyle w:val="Descripcin"/>
        <w:spacing w:before="0" w:beforeAutospacing="0"/>
        <w:jc w:val="left"/>
        <w:rPr>
          <w:sz w:val="20"/>
        </w:rPr>
      </w:pPr>
      <w:r w:rsidRPr="00042F25">
        <w:rPr>
          <w:sz w:val="20"/>
        </w:rPr>
        <w:t>Fonte: SNIS 2015. Elaborado por: GO Associados</w:t>
      </w:r>
    </w:p>
    <w:p w14:paraId="5BFEE64F" w14:textId="2DE895E2" w:rsidR="003847A3" w:rsidRPr="00042F25" w:rsidRDefault="003847A3" w:rsidP="00734F2F"/>
    <w:p w14:paraId="6FB64926" w14:textId="10118599" w:rsidR="00C376F1" w:rsidRPr="00042F25" w:rsidRDefault="00C376F1" w:rsidP="00C71C89">
      <w:pPr>
        <w:pStyle w:val="Ttulo2"/>
        <w:ind w:left="1427"/>
      </w:pPr>
      <w:bookmarkStart w:id="35" w:name="_Toc493094929"/>
      <w:r w:rsidRPr="00042F25">
        <w:t xml:space="preserve">Índice de </w:t>
      </w:r>
      <w:r w:rsidR="002C5C80" w:rsidRPr="00042F25">
        <w:t>despesas de exploração por m</w:t>
      </w:r>
      <w:r w:rsidR="002C5C80" w:rsidRPr="00042F25">
        <w:rPr>
          <w:vertAlign w:val="superscript"/>
        </w:rPr>
        <w:t>3</w:t>
      </w:r>
      <w:r w:rsidR="002C5C80" w:rsidRPr="00042F25">
        <w:t xml:space="preserve"> faturado</w:t>
      </w:r>
      <w:bookmarkEnd w:id="35"/>
    </w:p>
    <w:p w14:paraId="3F212E8A" w14:textId="6822023E" w:rsidR="00C376F1" w:rsidRPr="00042F25" w:rsidRDefault="00C376F1" w:rsidP="002C5C80">
      <w:r w:rsidRPr="00042F25">
        <w:t xml:space="preserve">O índice de </w:t>
      </w:r>
      <w:r w:rsidR="002C5C80" w:rsidRPr="00042F25">
        <w:t>despesas de exploração por m</w:t>
      </w:r>
      <w:r w:rsidR="002C5C80" w:rsidRPr="00042F25">
        <w:rPr>
          <w:vertAlign w:val="superscript"/>
        </w:rPr>
        <w:t>3</w:t>
      </w:r>
      <w:r w:rsidR="002C5C80" w:rsidRPr="00042F25">
        <w:t xml:space="preserve"> faturado (IN026)</w:t>
      </w:r>
      <w:r w:rsidR="00BF6582" w:rsidRPr="00042F25">
        <w:t>,</w:t>
      </w:r>
      <w:r w:rsidR="002C5C80" w:rsidRPr="00042F25">
        <w:t xml:space="preserve"> expresso em R$/m</w:t>
      </w:r>
      <w:r w:rsidR="002C5C80" w:rsidRPr="00042F25">
        <w:rPr>
          <w:vertAlign w:val="superscript"/>
        </w:rPr>
        <w:t>3</w:t>
      </w:r>
      <w:r w:rsidR="002C5C80" w:rsidRPr="00042F25">
        <w:t xml:space="preserve"> </w:t>
      </w:r>
      <w:r w:rsidR="00015A79" w:rsidRPr="00042F25">
        <w:t>utiliza</w:t>
      </w:r>
      <w:r w:rsidRPr="00042F25">
        <w:t xml:space="preserve"> </w:t>
      </w:r>
      <w:r w:rsidR="002C5C80" w:rsidRPr="00042F25">
        <w:t xml:space="preserve">o </w:t>
      </w:r>
      <w:r w:rsidR="00015A79" w:rsidRPr="00042F25">
        <w:t xml:space="preserve">volume de água </w:t>
      </w:r>
      <w:r w:rsidR="002C5C80" w:rsidRPr="00042F25">
        <w:t>faturado (AG011</w:t>
      </w:r>
      <w:r w:rsidR="00F94E3B" w:rsidRPr="00042F25">
        <w:t>), o volume de esgotos faturado</w:t>
      </w:r>
      <w:r w:rsidR="00015A79" w:rsidRPr="00042F25">
        <w:t xml:space="preserve"> (AG018) e </w:t>
      </w:r>
      <w:r w:rsidR="002C5C80" w:rsidRPr="00042F25">
        <w:t>as despesas de exploração</w:t>
      </w:r>
      <w:r w:rsidR="00015A79" w:rsidRPr="00042F25">
        <w:t xml:space="preserve"> (</w:t>
      </w:r>
      <w:r w:rsidR="002C5C80" w:rsidRPr="00042F25">
        <w:t>FN015</w:t>
      </w:r>
      <w:r w:rsidR="00015A79" w:rsidRPr="00042F25">
        <w:t xml:space="preserve">) </w:t>
      </w:r>
      <w:r w:rsidRPr="00042F25">
        <w:t xml:space="preserve">para o seu cálculo: </w:t>
      </w:r>
    </w:p>
    <w:p w14:paraId="77034829" w14:textId="27C70B10" w:rsidR="00C376F1" w:rsidRPr="00042F25" w:rsidRDefault="00C376F1" w:rsidP="00114CDA">
      <w:pPr>
        <w:jc w:val="center"/>
      </w:pPr>
      <m:oMathPara>
        <m:oMath>
          <m:r>
            <w:rPr>
              <w:rFonts w:ascii="Cambria Math" w:hAnsi="Cambria Math"/>
            </w:rPr>
            <m:t xml:space="preserve">IN026= </m:t>
          </m:r>
          <m:f>
            <m:fPr>
              <m:ctrlPr>
                <w:rPr>
                  <w:rFonts w:ascii="Cambria Math" w:hAnsi="Cambria Math"/>
                  <w:i/>
                </w:rPr>
              </m:ctrlPr>
            </m:fPr>
            <m:num>
              <m:r>
                <w:rPr>
                  <w:rFonts w:ascii="Cambria Math" w:hAnsi="Cambria Math"/>
                </w:rPr>
                <m:t>FN015</m:t>
              </m:r>
            </m:num>
            <m:den>
              <m:r>
                <w:rPr>
                  <w:rFonts w:ascii="Cambria Math" w:hAnsi="Cambria Math"/>
                </w:rPr>
                <m:t>AG011+ES007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m:t>
              </m:r>
            </m:den>
          </m:f>
        </m:oMath>
      </m:oMathPara>
    </w:p>
    <w:p w14:paraId="53F4398A" w14:textId="7237ABF7" w:rsidR="00C376F1" w:rsidRDefault="006E2C4F" w:rsidP="00C376F1">
      <w:r w:rsidRPr="00042F25">
        <w:t xml:space="preserve">Este índice avalia a despesa por </w:t>
      </w:r>
      <w:r w:rsidR="00875CFA">
        <w:t>metro cubico faturado</w:t>
      </w:r>
      <w:r w:rsidRPr="00042F25">
        <w:t xml:space="preserve"> </w:t>
      </w:r>
      <w:r w:rsidR="00875CFA">
        <w:t xml:space="preserve">de agua e esgoto </w:t>
      </w:r>
      <w:r w:rsidRPr="00042F25">
        <w:t xml:space="preserve">dos prestadores, levando em conta os custos da exploração, sem considerar os custos associados à implantação de infraestrutura. </w:t>
      </w:r>
      <w:r w:rsidR="00C376F1" w:rsidRPr="00042F25">
        <w:t>A evolução deste índice de 2010 a 2015 nas Companhias Es</w:t>
      </w:r>
      <w:r w:rsidRPr="00042F25">
        <w:t xml:space="preserve">taduais de Saneamento Básico </w:t>
      </w:r>
      <w:r w:rsidR="00657906" w:rsidRPr="00042F25">
        <w:t>mostra C</w:t>
      </w:r>
      <w:r w:rsidR="00875CFA">
        <w:t>EDAE</w:t>
      </w:r>
      <w:r w:rsidR="00657906" w:rsidRPr="00042F25">
        <w:t>,</w:t>
      </w:r>
      <w:r w:rsidR="00875CFA">
        <w:t xml:space="preserve"> CESAN</w:t>
      </w:r>
      <w:r w:rsidR="00657906" w:rsidRPr="00042F25">
        <w:t>,</w:t>
      </w:r>
      <w:r w:rsidR="00875CFA" w:rsidRPr="00EA348F">
        <w:t xml:space="preserve"> </w:t>
      </w:r>
      <w:r w:rsidR="00657906" w:rsidRPr="00042F25">
        <w:t>e S</w:t>
      </w:r>
      <w:r w:rsidR="00875CFA">
        <w:t>ABESP</w:t>
      </w:r>
      <w:r w:rsidR="00657906" w:rsidRPr="00042F25">
        <w:t xml:space="preserve"> com os índices abaixo de </w:t>
      </w:r>
      <w:r w:rsidR="00875CFA">
        <w:t xml:space="preserve">R$ </w:t>
      </w:r>
      <w:r w:rsidR="00657906" w:rsidRPr="00042F25">
        <w:t>2,00</w:t>
      </w:r>
      <w:r w:rsidR="00875CFA">
        <w:t xml:space="preserve"> por metro cubico de agua e esgoto faturado</w:t>
      </w:r>
      <w:r w:rsidR="00657906" w:rsidRPr="00042F25">
        <w:t>.</w:t>
      </w:r>
      <w:r w:rsidR="00875CFA">
        <w:t xml:space="preserve"> A média da amostra em 2015 foi </w:t>
      </w:r>
      <w:r w:rsidR="00FE6784">
        <w:t>de R</w:t>
      </w:r>
      <w:r w:rsidR="00875CFA">
        <w:t>$ 2,81 por metro cubico de agua e esgoto faturado.</w:t>
      </w:r>
    </w:p>
    <w:p w14:paraId="552A38E1" w14:textId="77777777" w:rsidR="008729F9" w:rsidRPr="00042F25" w:rsidRDefault="008729F9" w:rsidP="00C376F1"/>
    <w:p w14:paraId="5B504BA8" w14:textId="6DD40D0A" w:rsidR="00C376F1" w:rsidRDefault="00C376F1" w:rsidP="00C376F1">
      <w:pPr>
        <w:pStyle w:val="Descripcin"/>
      </w:pPr>
      <w:bookmarkStart w:id="36" w:name="_Toc493222482"/>
      <w:r w:rsidRPr="00042F25">
        <w:t xml:space="preserve">Quadro </w:t>
      </w:r>
      <w:fldSimple w:instr=" SEQ Quadro \* ARABIC ">
        <w:r w:rsidR="00B64D1C" w:rsidRPr="00042F25">
          <w:rPr>
            <w:noProof/>
          </w:rPr>
          <w:t>19</w:t>
        </w:r>
      </w:fldSimple>
      <w:r w:rsidR="00015A79" w:rsidRPr="00042F25">
        <w:t xml:space="preserve"> – Índice de </w:t>
      </w:r>
      <w:r w:rsidR="002C5C80" w:rsidRPr="00042F25">
        <w:t>Despesas de Exploração por m</w:t>
      </w:r>
      <w:r w:rsidR="002C5C80" w:rsidRPr="00042F25">
        <w:rPr>
          <w:vertAlign w:val="superscript"/>
        </w:rPr>
        <w:t>3</w:t>
      </w:r>
      <w:r w:rsidR="002C5C80" w:rsidRPr="00042F25">
        <w:t xml:space="preserve"> Faturado (IN026)</w:t>
      </w:r>
      <w:bookmarkEnd w:id="36"/>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8729F9" w:rsidRPr="008729F9" w14:paraId="05B991DE" w14:textId="77777777" w:rsidTr="00EA348F">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6A18B68" w14:textId="77777777" w:rsidR="008729F9" w:rsidRPr="008729F9" w:rsidRDefault="008729F9" w:rsidP="008729F9">
            <w:pPr>
              <w:spacing w:before="0" w:beforeAutospacing="0" w:after="0" w:afterAutospacing="0" w:line="240" w:lineRule="auto"/>
              <w:ind w:firstLine="0"/>
              <w:jc w:val="left"/>
              <w:rPr>
                <w:b w:val="0"/>
                <w:bCs w:val="0"/>
                <w:color w:val="FFFFFF"/>
                <w:sz w:val="22"/>
                <w:lang w:val="es-CO" w:eastAsia="es-CO"/>
              </w:rPr>
            </w:pPr>
            <w:r w:rsidRPr="008729F9">
              <w:rPr>
                <w:b w:val="0"/>
                <w:bCs w:val="0"/>
                <w:color w:val="FFFFFF"/>
                <w:sz w:val="22"/>
                <w:lang w:eastAsia="es-CO"/>
              </w:rPr>
              <w:t>Empresa</w:t>
            </w:r>
          </w:p>
        </w:tc>
        <w:tc>
          <w:tcPr>
            <w:tcW w:w="1248" w:type="dxa"/>
            <w:hideMark/>
          </w:tcPr>
          <w:p w14:paraId="2E6E10B7"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2010</w:t>
            </w:r>
          </w:p>
        </w:tc>
        <w:tc>
          <w:tcPr>
            <w:tcW w:w="1249" w:type="dxa"/>
            <w:hideMark/>
          </w:tcPr>
          <w:p w14:paraId="4F8400BD"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2011</w:t>
            </w:r>
          </w:p>
        </w:tc>
        <w:tc>
          <w:tcPr>
            <w:tcW w:w="1249" w:type="dxa"/>
            <w:hideMark/>
          </w:tcPr>
          <w:p w14:paraId="161D3EB6"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2012</w:t>
            </w:r>
          </w:p>
        </w:tc>
        <w:tc>
          <w:tcPr>
            <w:tcW w:w="1178" w:type="dxa"/>
            <w:hideMark/>
          </w:tcPr>
          <w:p w14:paraId="7AFB7CBE"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2013</w:t>
            </w:r>
          </w:p>
        </w:tc>
        <w:tc>
          <w:tcPr>
            <w:tcW w:w="1093" w:type="dxa"/>
            <w:hideMark/>
          </w:tcPr>
          <w:p w14:paraId="1CED80CF"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2014</w:t>
            </w:r>
          </w:p>
        </w:tc>
        <w:tc>
          <w:tcPr>
            <w:tcW w:w="990" w:type="dxa"/>
            <w:hideMark/>
          </w:tcPr>
          <w:p w14:paraId="5E733B5F"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2015</w:t>
            </w:r>
          </w:p>
        </w:tc>
      </w:tr>
      <w:tr w:rsidR="008729F9" w:rsidRPr="008729F9" w14:paraId="3DC051A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1DA9C5"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Agespisa</w:t>
            </w:r>
          </w:p>
        </w:tc>
        <w:tc>
          <w:tcPr>
            <w:tcW w:w="1248" w:type="dxa"/>
            <w:hideMark/>
          </w:tcPr>
          <w:p w14:paraId="7C06C64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R$ 3,38 </w:t>
            </w:r>
          </w:p>
        </w:tc>
        <w:tc>
          <w:tcPr>
            <w:tcW w:w="1249" w:type="dxa"/>
            <w:hideMark/>
          </w:tcPr>
          <w:p w14:paraId="2AF1783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R$ 2,57 </w:t>
            </w:r>
          </w:p>
        </w:tc>
        <w:tc>
          <w:tcPr>
            <w:tcW w:w="1249" w:type="dxa"/>
            <w:hideMark/>
          </w:tcPr>
          <w:p w14:paraId="0C9DE1E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R$ 2,69 </w:t>
            </w:r>
          </w:p>
        </w:tc>
        <w:tc>
          <w:tcPr>
            <w:tcW w:w="1178" w:type="dxa"/>
            <w:hideMark/>
          </w:tcPr>
          <w:p w14:paraId="1FEF069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R$ 2,88 </w:t>
            </w:r>
          </w:p>
        </w:tc>
        <w:tc>
          <w:tcPr>
            <w:tcW w:w="1093" w:type="dxa"/>
            <w:hideMark/>
          </w:tcPr>
          <w:p w14:paraId="2FDBF1B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R$ 2,96 </w:t>
            </w:r>
          </w:p>
        </w:tc>
        <w:tc>
          <w:tcPr>
            <w:tcW w:w="990" w:type="dxa"/>
            <w:hideMark/>
          </w:tcPr>
          <w:p w14:paraId="23D5022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R$ 2,50 </w:t>
            </w:r>
          </w:p>
        </w:tc>
      </w:tr>
      <w:tr w:rsidR="008729F9" w:rsidRPr="008729F9" w14:paraId="6D72B90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60887E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Caema</w:t>
            </w:r>
          </w:p>
        </w:tc>
        <w:tc>
          <w:tcPr>
            <w:tcW w:w="1248" w:type="dxa"/>
            <w:hideMark/>
          </w:tcPr>
          <w:p w14:paraId="60533AE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R$ 2,42 </w:t>
            </w:r>
          </w:p>
        </w:tc>
        <w:tc>
          <w:tcPr>
            <w:tcW w:w="1249" w:type="dxa"/>
            <w:hideMark/>
          </w:tcPr>
          <w:p w14:paraId="7408A04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R$ 1,24 </w:t>
            </w:r>
          </w:p>
        </w:tc>
        <w:tc>
          <w:tcPr>
            <w:tcW w:w="1249" w:type="dxa"/>
            <w:hideMark/>
          </w:tcPr>
          <w:p w14:paraId="09F9287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R$ 0,86 </w:t>
            </w:r>
          </w:p>
        </w:tc>
        <w:tc>
          <w:tcPr>
            <w:tcW w:w="1178" w:type="dxa"/>
            <w:hideMark/>
          </w:tcPr>
          <w:p w14:paraId="36916BD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R$ 1,22 </w:t>
            </w:r>
          </w:p>
        </w:tc>
        <w:tc>
          <w:tcPr>
            <w:tcW w:w="1093" w:type="dxa"/>
            <w:hideMark/>
          </w:tcPr>
          <w:p w14:paraId="03E3DDF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R$ 2,75 </w:t>
            </w:r>
          </w:p>
        </w:tc>
        <w:tc>
          <w:tcPr>
            <w:tcW w:w="990" w:type="dxa"/>
            <w:hideMark/>
          </w:tcPr>
          <w:p w14:paraId="57C64C8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R$ 3,12 </w:t>
            </w:r>
          </w:p>
        </w:tc>
      </w:tr>
      <w:tr w:rsidR="008729F9" w:rsidRPr="008729F9" w14:paraId="3F9F4AD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531F1A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w:t>
            </w:r>
          </w:p>
        </w:tc>
        <w:tc>
          <w:tcPr>
            <w:tcW w:w="1248" w:type="dxa"/>
            <w:hideMark/>
          </w:tcPr>
          <w:p w14:paraId="48115E7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R$ 1,68 </w:t>
            </w:r>
          </w:p>
        </w:tc>
        <w:tc>
          <w:tcPr>
            <w:tcW w:w="1249" w:type="dxa"/>
            <w:hideMark/>
          </w:tcPr>
          <w:p w14:paraId="5D6245F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R$ 2,05 </w:t>
            </w:r>
          </w:p>
        </w:tc>
        <w:tc>
          <w:tcPr>
            <w:tcW w:w="1249" w:type="dxa"/>
            <w:hideMark/>
          </w:tcPr>
          <w:p w14:paraId="1E23C25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R$ 2,27 </w:t>
            </w:r>
          </w:p>
        </w:tc>
        <w:tc>
          <w:tcPr>
            <w:tcW w:w="1178" w:type="dxa"/>
            <w:hideMark/>
          </w:tcPr>
          <w:p w14:paraId="5CE27B3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R$ 2,33 </w:t>
            </w:r>
          </w:p>
        </w:tc>
        <w:tc>
          <w:tcPr>
            <w:tcW w:w="1093" w:type="dxa"/>
            <w:hideMark/>
          </w:tcPr>
          <w:p w14:paraId="779E968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R$ 2,41 </w:t>
            </w:r>
          </w:p>
        </w:tc>
        <w:tc>
          <w:tcPr>
            <w:tcW w:w="990" w:type="dxa"/>
            <w:hideMark/>
          </w:tcPr>
          <w:p w14:paraId="1A01517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R$ 2,64 </w:t>
            </w:r>
          </w:p>
        </w:tc>
      </w:tr>
      <w:tr w:rsidR="008729F9" w:rsidRPr="008729F9" w14:paraId="6009915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D065F83"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Caerd</w:t>
            </w:r>
          </w:p>
        </w:tc>
        <w:tc>
          <w:tcPr>
            <w:tcW w:w="1248" w:type="dxa"/>
            <w:hideMark/>
          </w:tcPr>
          <w:p w14:paraId="588AFCC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R$ 3,78 </w:t>
            </w:r>
          </w:p>
        </w:tc>
        <w:tc>
          <w:tcPr>
            <w:tcW w:w="1249" w:type="dxa"/>
            <w:hideMark/>
          </w:tcPr>
          <w:p w14:paraId="6710567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R$ 3,89 </w:t>
            </w:r>
          </w:p>
        </w:tc>
        <w:tc>
          <w:tcPr>
            <w:tcW w:w="1249" w:type="dxa"/>
            <w:hideMark/>
          </w:tcPr>
          <w:p w14:paraId="78D26DA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R$ 3,84 </w:t>
            </w:r>
          </w:p>
        </w:tc>
        <w:tc>
          <w:tcPr>
            <w:tcW w:w="1178" w:type="dxa"/>
            <w:hideMark/>
          </w:tcPr>
          <w:p w14:paraId="3BC53F4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R$ 3,82 </w:t>
            </w:r>
          </w:p>
        </w:tc>
        <w:tc>
          <w:tcPr>
            <w:tcW w:w="1093" w:type="dxa"/>
            <w:hideMark/>
          </w:tcPr>
          <w:p w14:paraId="1919C68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R$ 4,26 </w:t>
            </w:r>
          </w:p>
        </w:tc>
        <w:tc>
          <w:tcPr>
            <w:tcW w:w="990" w:type="dxa"/>
            <w:hideMark/>
          </w:tcPr>
          <w:p w14:paraId="0CE248A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R$ 5,04 </w:t>
            </w:r>
          </w:p>
        </w:tc>
      </w:tr>
      <w:tr w:rsidR="008729F9" w:rsidRPr="008729F9" w14:paraId="2DBE8BA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A1AC28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Caern</w:t>
            </w:r>
          </w:p>
        </w:tc>
        <w:tc>
          <w:tcPr>
            <w:tcW w:w="1248" w:type="dxa"/>
            <w:hideMark/>
          </w:tcPr>
          <w:p w14:paraId="1FA586C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R$ 1,89 </w:t>
            </w:r>
          </w:p>
        </w:tc>
        <w:tc>
          <w:tcPr>
            <w:tcW w:w="1249" w:type="dxa"/>
            <w:hideMark/>
          </w:tcPr>
          <w:p w14:paraId="2C30D3B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R$ 1,96 </w:t>
            </w:r>
          </w:p>
        </w:tc>
        <w:tc>
          <w:tcPr>
            <w:tcW w:w="1249" w:type="dxa"/>
            <w:hideMark/>
          </w:tcPr>
          <w:p w14:paraId="6837EA2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R$ 2,08 </w:t>
            </w:r>
          </w:p>
        </w:tc>
        <w:tc>
          <w:tcPr>
            <w:tcW w:w="1178" w:type="dxa"/>
            <w:hideMark/>
          </w:tcPr>
          <w:p w14:paraId="441DC01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R$ 2,13 </w:t>
            </w:r>
          </w:p>
        </w:tc>
        <w:tc>
          <w:tcPr>
            <w:tcW w:w="1093" w:type="dxa"/>
            <w:hideMark/>
          </w:tcPr>
          <w:p w14:paraId="4460075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R$ 2,40 </w:t>
            </w:r>
          </w:p>
        </w:tc>
        <w:tc>
          <w:tcPr>
            <w:tcW w:w="990" w:type="dxa"/>
            <w:hideMark/>
          </w:tcPr>
          <w:p w14:paraId="3306FA5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R$ 2,90 </w:t>
            </w:r>
          </w:p>
        </w:tc>
      </w:tr>
      <w:tr w:rsidR="008729F9" w:rsidRPr="008729F9" w14:paraId="571A743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1FFB04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Caesa</w:t>
            </w:r>
          </w:p>
        </w:tc>
        <w:tc>
          <w:tcPr>
            <w:tcW w:w="1248" w:type="dxa"/>
            <w:hideMark/>
          </w:tcPr>
          <w:p w14:paraId="49195E6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R$ 2,18 </w:t>
            </w:r>
          </w:p>
        </w:tc>
        <w:tc>
          <w:tcPr>
            <w:tcW w:w="1249" w:type="dxa"/>
            <w:hideMark/>
          </w:tcPr>
          <w:p w14:paraId="6D4705A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R$ 2,85 </w:t>
            </w:r>
          </w:p>
        </w:tc>
        <w:tc>
          <w:tcPr>
            <w:tcW w:w="1249" w:type="dxa"/>
            <w:hideMark/>
          </w:tcPr>
          <w:p w14:paraId="58B1F5D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R$ 2,08 </w:t>
            </w:r>
          </w:p>
        </w:tc>
        <w:tc>
          <w:tcPr>
            <w:tcW w:w="1178" w:type="dxa"/>
            <w:hideMark/>
          </w:tcPr>
          <w:p w14:paraId="3E324A0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R$ 2,83 </w:t>
            </w:r>
          </w:p>
        </w:tc>
        <w:tc>
          <w:tcPr>
            <w:tcW w:w="1093" w:type="dxa"/>
            <w:hideMark/>
          </w:tcPr>
          <w:p w14:paraId="2A4F86A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R$ 2,78 </w:t>
            </w:r>
          </w:p>
        </w:tc>
        <w:tc>
          <w:tcPr>
            <w:tcW w:w="990" w:type="dxa"/>
            <w:hideMark/>
          </w:tcPr>
          <w:p w14:paraId="47EC80E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R$ 2,80 </w:t>
            </w:r>
          </w:p>
        </w:tc>
      </w:tr>
      <w:tr w:rsidR="008729F9" w:rsidRPr="008729F9" w14:paraId="51A2035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CE9285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Caesb</w:t>
            </w:r>
          </w:p>
        </w:tc>
        <w:tc>
          <w:tcPr>
            <w:tcW w:w="1248" w:type="dxa"/>
            <w:hideMark/>
          </w:tcPr>
          <w:p w14:paraId="07BD5A9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R$ 2,22 </w:t>
            </w:r>
          </w:p>
        </w:tc>
        <w:tc>
          <w:tcPr>
            <w:tcW w:w="1249" w:type="dxa"/>
            <w:hideMark/>
          </w:tcPr>
          <w:p w14:paraId="0649033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R$ 2,63 </w:t>
            </w:r>
          </w:p>
        </w:tc>
        <w:tc>
          <w:tcPr>
            <w:tcW w:w="1249" w:type="dxa"/>
            <w:hideMark/>
          </w:tcPr>
          <w:p w14:paraId="3A0C01F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R$ 3,07 </w:t>
            </w:r>
          </w:p>
        </w:tc>
        <w:tc>
          <w:tcPr>
            <w:tcW w:w="1178" w:type="dxa"/>
            <w:hideMark/>
          </w:tcPr>
          <w:p w14:paraId="79B4E73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R$ 3,14 </w:t>
            </w:r>
          </w:p>
        </w:tc>
        <w:tc>
          <w:tcPr>
            <w:tcW w:w="1093" w:type="dxa"/>
            <w:hideMark/>
          </w:tcPr>
          <w:p w14:paraId="2C169AB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R$ 3,50 </w:t>
            </w:r>
          </w:p>
        </w:tc>
        <w:tc>
          <w:tcPr>
            <w:tcW w:w="990" w:type="dxa"/>
            <w:hideMark/>
          </w:tcPr>
          <w:p w14:paraId="7A3B57B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R$ 3,75 </w:t>
            </w:r>
          </w:p>
        </w:tc>
      </w:tr>
      <w:tr w:rsidR="008729F9" w:rsidRPr="008729F9" w14:paraId="40ADCE5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F6803F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Cagece</w:t>
            </w:r>
          </w:p>
        </w:tc>
        <w:tc>
          <w:tcPr>
            <w:tcW w:w="1248" w:type="dxa"/>
            <w:hideMark/>
          </w:tcPr>
          <w:p w14:paraId="646DEEC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R$ 1,29 </w:t>
            </w:r>
          </w:p>
        </w:tc>
        <w:tc>
          <w:tcPr>
            <w:tcW w:w="1249" w:type="dxa"/>
            <w:hideMark/>
          </w:tcPr>
          <w:p w14:paraId="686D46E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R$ 1,12 </w:t>
            </w:r>
          </w:p>
        </w:tc>
        <w:tc>
          <w:tcPr>
            <w:tcW w:w="1249" w:type="dxa"/>
            <w:hideMark/>
          </w:tcPr>
          <w:p w14:paraId="43457E6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R$ 1,44 </w:t>
            </w:r>
          </w:p>
        </w:tc>
        <w:tc>
          <w:tcPr>
            <w:tcW w:w="1178" w:type="dxa"/>
            <w:hideMark/>
          </w:tcPr>
          <w:p w14:paraId="5C10277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R$ 1,57 </w:t>
            </w:r>
          </w:p>
        </w:tc>
        <w:tc>
          <w:tcPr>
            <w:tcW w:w="1093" w:type="dxa"/>
            <w:hideMark/>
          </w:tcPr>
          <w:p w14:paraId="72C7C4F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R$ 1,81 </w:t>
            </w:r>
          </w:p>
        </w:tc>
        <w:tc>
          <w:tcPr>
            <w:tcW w:w="990" w:type="dxa"/>
            <w:hideMark/>
          </w:tcPr>
          <w:p w14:paraId="74DC40C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R$ 2,15 </w:t>
            </w:r>
          </w:p>
        </w:tc>
      </w:tr>
      <w:tr w:rsidR="008729F9" w:rsidRPr="008729F9" w14:paraId="050A86D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6D0999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Cagepa</w:t>
            </w:r>
          </w:p>
        </w:tc>
        <w:tc>
          <w:tcPr>
            <w:tcW w:w="1248" w:type="dxa"/>
            <w:hideMark/>
          </w:tcPr>
          <w:p w14:paraId="6BA04CF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R$ 2,27 </w:t>
            </w:r>
          </w:p>
        </w:tc>
        <w:tc>
          <w:tcPr>
            <w:tcW w:w="1249" w:type="dxa"/>
            <w:hideMark/>
          </w:tcPr>
          <w:p w14:paraId="7FB5217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R$ 2,08 </w:t>
            </w:r>
          </w:p>
        </w:tc>
        <w:tc>
          <w:tcPr>
            <w:tcW w:w="1249" w:type="dxa"/>
            <w:hideMark/>
          </w:tcPr>
          <w:p w14:paraId="62D13FD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R$ 2,10 </w:t>
            </w:r>
          </w:p>
        </w:tc>
        <w:tc>
          <w:tcPr>
            <w:tcW w:w="1178" w:type="dxa"/>
            <w:hideMark/>
          </w:tcPr>
          <w:p w14:paraId="108C3B0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R$ 2,34 </w:t>
            </w:r>
          </w:p>
        </w:tc>
        <w:tc>
          <w:tcPr>
            <w:tcW w:w="1093" w:type="dxa"/>
            <w:hideMark/>
          </w:tcPr>
          <w:p w14:paraId="6EC186C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R$ 2,59 </w:t>
            </w:r>
          </w:p>
        </w:tc>
        <w:tc>
          <w:tcPr>
            <w:tcW w:w="990" w:type="dxa"/>
            <w:hideMark/>
          </w:tcPr>
          <w:p w14:paraId="115BAD0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R$ 2,93 </w:t>
            </w:r>
          </w:p>
        </w:tc>
      </w:tr>
      <w:tr w:rsidR="008729F9" w:rsidRPr="008729F9" w14:paraId="581C9DD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FE3CC0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Casal</w:t>
            </w:r>
          </w:p>
        </w:tc>
        <w:tc>
          <w:tcPr>
            <w:tcW w:w="1248" w:type="dxa"/>
            <w:hideMark/>
          </w:tcPr>
          <w:p w14:paraId="611643C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R$ 2,20 </w:t>
            </w:r>
          </w:p>
        </w:tc>
        <w:tc>
          <w:tcPr>
            <w:tcW w:w="1249" w:type="dxa"/>
            <w:hideMark/>
          </w:tcPr>
          <w:p w14:paraId="2E32845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R$ 1,92 </w:t>
            </w:r>
          </w:p>
        </w:tc>
        <w:tc>
          <w:tcPr>
            <w:tcW w:w="1249" w:type="dxa"/>
            <w:hideMark/>
          </w:tcPr>
          <w:p w14:paraId="630C5BD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R$ 1,85 </w:t>
            </w:r>
          </w:p>
        </w:tc>
        <w:tc>
          <w:tcPr>
            <w:tcW w:w="1178" w:type="dxa"/>
            <w:hideMark/>
          </w:tcPr>
          <w:p w14:paraId="6C2C3D9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R$ 2,63 </w:t>
            </w:r>
          </w:p>
        </w:tc>
        <w:tc>
          <w:tcPr>
            <w:tcW w:w="1093" w:type="dxa"/>
            <w:hideMark/>
          </w:tcPr>
          <w:p w14:paraId="7842C42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R$ 3,09 </w:t>
            </w:r>
          </w:p>
        </w:tc>
        <w:tc>
          <w:tcPr>
            <w:tcW w:w="990" w:type="dxa"/>
            <w:hideMark/>
          </w:tcPr>
          <w:p w14:paraId="346D171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R$ 3,89 </w:t>
            </w:r>
          </w:p>
        </w:tc>
      </w:tr>
      <w:tr w:rsidR="008729F9" w:rsidRPr="008729F9" w14:paraId="257E295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CE0D11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Casan</w:t>
            </w:r>
          </w:p>
        </w:tc>
        <w:tc>
          <w:tcPr>
            <w:tcW w:w="1248" w:type="dxa"/>
            <w:hideMark/>
          </w:tcPr>
          <w:p w14:paraId="37C26D3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R$ 2,39 </w:t>
            </w:r>
          </w:p>
        </w:tc>
        <w:tc>
          <w:tcPr>
            <w:tcW w:w="1249" w:type="dxa"/>
            <w:hideMark/>
          </w:tcPr>
          <w:p w14:paraId="38E3EB1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R$ 2,78 </w:t>
            </w:r>
          </w:p>
        </w:tc>
        <w:tc>
          <w:tcPr>
            <w:tcW w:w="1249" w:type="dxa"/>
            <w:hideMark/>
          </w:tcPr>
          <w:p w14:paraId="1ABE6F4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R$ 2,62 </w:t>
            </w:r>
          </w:p>
        </w:tc>
        <w:tc>
          <w:tcPr>
            <w:tcW w:w="1178" w:type="dxa"/>
            <w:hideMark/>
          </w:tcPr>
          <w:p w14:paraId="16BED64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R$ 2,67 </w:t>
            </w:r>
          </w:p>
        </w:tc>
        <w:tc>
          <w:tcPr>
            <w:tcW w:w="1093" w:type="dxa"/>
            <w:hideMark/>
          </w:tcPr>
          <w:p w14:paraId="322FF89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R$ 2,98 </w:t>
            </w:r>
          </w:p>
        </w:tc>
        <w:tc>
          <w:tcPr>
            <w:tcW w:w="990" w:type="dxa"/>
            <w:hideMark/>
          </w:tcPr>
          <w:p w14:paraId="7561015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R$ 3,19 </w:t>
            </w:r>
          </w:p>
        </w:tc>
      </w:tr>
      <w:tr w:rsidR="008729F9" w:rsidRPr="008729F9" w14:paraId="0984928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404153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Cedae</w:t>
            </w:r>
          </w:p>
        </w:tc>
        <w:tc>
          <w:tcPr>
            <w:tcW w:w="1248" w:type="dxa"/>
            <w:hideMark/>
          </w:tcPr>
          <w:p w14:paraId="5BAEC46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R$ 1,44 </w:t>
            </w:r>
          </w:p>
        </w:tc>
        <w:tc>
          <w:tcPr>
            <w:tcW w:w="1249" w:type="dxa"/>
            <w:hideMark/>
          </w:tcPr>
          <w:p w14:paraId="5AB2AE1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R$ 1,30 </w:t>
            </w:r>
          </w:p>
        </w:tc>
        <w:tc>
          <w:tcPr>
            <w:tcW w:w="1249" w:type="dxa"/>
            <w:hideMark/>
          </w:tcPr>
          <w:p w14:paraId="13CC908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R$ 1,42 </w:t>
            </w:r>
          </w:p>
        </w:tc>
        <w:tc>
          <w:tcPr>
            <w:tcW w:w="1178" w:type="dxa"/>
            <w:hideMark/>
          </w:tcPr>
          <w:p w14:paraId="29D24AE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R$ 1,45 </w:t>
            </w:r>
          </w:p>
        </w:tc>
        <w:tc>
          <w:tcPr>
            <w:tcW w:w="1093" w:type="dxa"/>
            <w:hideMark/>
          </w:tcPr>
          <w:p w14:paraId="0390B6B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R$ 1,27 </w:t>
            </w:r>
          </w:p>
        </w:tc>
        <w:tc>
          <w:tcPr>
            <w:tcW w:w="990" w:type="dxa"/>
            <w:hideMark/>
          </w:tcPr>
          <w:p w14:paraId="61BF78A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R$ 1,48 </w:t>
            </w:r>
          </w:p>
        </w:tc>
      </w:tr>
      <w:tr w:rsidR="008729F9" w:rsidRPr="008729F9" w14:paraId="5925D10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DF5580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Cesan</w:t>
            </w:r>
          </w:p>
        </w:tc>
        <w:tc>
          <w:tcPr>
            <w:tcW w:w="1248" w:type="dxa"/>
            <w:hideMark/>
          </w:tcPr>
          <w:p w14:paraId="083EAD0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R$ 1,25 </w:t>
            </w:r>
          </w:p>
        </w:tc>
        <w:tc>
          <w:tcPr>
            <w:tcW w:w="1249" w:type="dxa"/>
            <w:hideMark/>
          </w:tcPr>
          <w:p w14:paraId="677FDC7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R$ 1,34 </w:t>
            </w:r>
          </w:p>
        </w:tc>
        <w:tc>
          <w:tcPr>
            <w:tcW w:w="1249" w:type="dxa"/>
            <w:hideMark/>
          </w:tcPr>
          <w:p w14:paraId="2F3AEBE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R$ 1,48 </w:t>
            </w:r>
          </w:p>
        </w:tc>
        <w:tc>
          <w:tcPr>
            <w:tcW w:w="1178" w:type="dxa"/>
            <w:hideMark/>
          </w:tcPr>
          <w:p w14:paraId="0277ADE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R$ 1,54 </w:t>
            </w:r>
          </w:p>
        </w:tc>
        <w:tc>
          <w:tcPr>
            <w:tcW w:w="1093" w:type="dxa"/>
            <w:hideMark/>
          </w:tcPr>
          <w:p w14:paraId="4456E28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R$ 1,80 </w:t>
            </w:r>
          </w:p>
        </w:tc>
        <w:tc>
          <w:tcPr>
            <w:tcW w:w="990" w:type="dxa"/>
            <w:hideMark/>
          </w:tcPr>
          <w:p w14:paraId="543D926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R$ 2,00 </w:t>
            </w:r>
          </w:p>
        </w:tc>
      </w:tr>
      <w:tr w:rsidR="008729F9" w:rsidRPr="008729F9" w14:paraId="5EA6B44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AD0FD6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Compesa</w:t>
            </w:r>
          </w:p>
        </w:tc>
        <w:tc>
          <w:tcPr>
            <w:tcW w:w="1248" w:type="dxa"/>
            <w:hideMark/>
          </w:tcPr>
          <w:p w14:paraId="5E96BFB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R$ 1,98 </w:t>
            </w:r>
          </w:p>
        </w:tc>
        <w:tc>
          <w:tcPr>
            <w:tcW w:w="1249" w:type="dxa"/>
            <w:hideMark/>
          </w:tcPr>
          <w:p w14:paraId="5845EB7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R$ 2,10 </w:t>
            </w:r>
          </w:p>
        </w:tc>
        <w:tc>
          <w:tcPr>
            <w:tcW w:w="1249" w:type="dxa"/>
            <w:hideMark/>
          </w:tcPr>
          <w:p w14:paraId="0D67AE4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R$ 2,35 </w:t>
            </w:r>
          </w:p>
        </w:tc>
        <w:tc>
          <w:tcPr>
            <w:tcW w:w="1178" w:type="dxa"/>
            <w:hideMark/>
          </w:tcPr>
          <w:p w14:paraId="5D9545B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R$ 2,38 </w:t>
            </w:r>
          </w:p>
        </w:tc>
        <w:tc>
          <w:tcPr>
            <w:tcW w:w="1093" w:type="dxa"/>
            <w:hideMark/>
          </w:tcPr>
          <w:p w14:paraId="42A03D3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R$ 2,45 </w:t>
            </w:r>
          </w:p>
        </w:tc>
        <w:tc>
          <w:tcPr>
            <w:tcW w:w="990" w:type="dxa"/>
            <w:hideMark/>
          </w:tcPr>
          <w:p w14:paraId="185A637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R$ 2,68 </w:t>
            </w:r>
          </w:p>
        </w:tc>
      </w:tr>
      <w:tr w:rsidR="008729F9" w:rsidRPr="008729F9" w14:paraId="102CF35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C5FF9A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Copasa</w:t>
            </w:r>
          </w:p>
        </w:tc>
        <w:tc>
          <w:tcPr>
            <w:tcW w:w="1248" w:type="dxa"/>
            <w:hideMark/>
          </w:tcPr>
          <w:p w14:paraId="48F8D23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R$ 1,63 </w:t>
            </w:r>
          </w:p>
        </w:tc>
        <w:tc>
          <w:tcPr>
            <w:tcW w:w="1249" w:type="dxa"/>
            <w:hideMark/>
          </w:tcPr>
          <w:p w14:paraId="0CA6107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R$ 1,68 </w:t>
            </w:r>
          </w:p>
        </w:tc>
        <w:tc>
          <w:tcPr>
            <w:tcW w:w="1249" w:type="dxa"/>
            <w:hideMark/>
          </w:tcPr>
          <w:p w14:paraId="59D2F98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R$ 1,75 </w:t>
            </w:r>
          </w:p>
        </w:tc>
        <w:tc>
          <w:tcPr>
            <w:tcW w:w="1178" w:type="dxa"/>
            <w:hideMark/>
          </w:tcPr>
          <w:p w14:paraId="0DBA93E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R$ 1,90 </w:t>
            </w:r>
          </w:p>
        </w:tc>
        <w:tc>
          <w:tcPr>
            <w:tcW w:w="1093" w:type="dxa"/>
            <w:hideMark/>
          </w:tcPr>
          <w:p w14:paraId="49C87D5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R$ 1,97 </w:t>
            </w:r>
          </w:p>
        </w:tc>
        <w:tc>
          <w:tcPr>
            <w:tcW w:w="990" w:type="dxa"/>
            <w:hideMark/>
          </w:tcPr>
          <w:p w14:paraId="2B7DB24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R$ 2,39 </w:t>
            </w:r>
          </w:p>
        </w:tc>
      </w:tr>
      <w:tr w:rsidR="008729F9" w:rsidRPr="008729F9" w14:paraId="392A812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77FDDC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Corsan</w:t>
            </w:r>
          </w:p>
        </w:tc>
        <w:tc>
          <w:tcPr>
            <w:tcW w:w="1248" w:type="dxa"/>
            <w:hideMark/>
          </w:tcPr>
          <w:p w14:paraId="6F6C8D6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R$ 3,25 </w:t>
            </w:r>
          </w:p>
        </w:tc>
        <w:tc>
          <w:tcPr>
            <w:tcW w:w="1249" w:type="dxa"/>
            <w:hideMark/>
          </w:tcPr>
          <w:p w14:paraId="3278E43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R$ 4,28 </w:t>
            </w:r>
          </w:p>
        </w:tc>
        <w:tc>
          <w:tcPr>
            <w:tcW w:w="1249" w:type="dxa"/>
            <w:hideMark/>
          </w:tcPr>
          <w:p w14:paraId="62D8A08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R$ 5,04 </w:t>
            </w:r>
          </w:p>
        </w:tc>
        <w:tc>
          <w:tcPr>
            <w:tcW w:w="1178" w:type="dxa"/>
            <w:hideMark/>
          </w:tcPr>
          <w:p w14:paraId="2B93F10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R$ 5,14 </w:t>
            </w:r>
          </w:p>
        </w:tc>
        <w:tc>
          <w:tcPr>
            <w:tcW w:w="1093" w:type="dxa"/>
            <w:hideMark/>
          </w:tcPr>
          <w:p w14:paraId="65926F0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R$ 5,01 </w:t>
            </w:r>
          </w:p>
        </w:tc>
        <w:tc>
          <w:tcPr>
            <w:tcW w:w="990" w:type="dxa"/>
            <w:hideMark/>
          </w:tcPr>
          <w:p w14:paraId="3DBA8FC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R$ 4,27 </w:t>
            </w:r>
          </w:p>
        </w:tc>
      </w:tr>
      <w:tr w:rsidR="008729F9" w:rsidRPr="008729F9" w14:paraId="37C879A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EA9E0C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Cosanpa</w:t>
            </w:r>
          </w:p>
        </w:tc>
        <w:tc>
          <w:tcPr>
            <w:tcW w:w="1248" w:type="dxa"/>
            <w:hideMark/>
          </w:tcPr>
          <w:p w14:paraId="4620244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R$ 2,09 </w:t>
            </w:r>
          </w:p>
        </w:tc>
        <w:tc>
          <w:tcPr>
            <w:tcW w:w="1249" w:type="dxa"/>
            <w:hideMark/>
          </w:tcPr>
          <w:p w14:paraId="5A1D962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R$ 2,19 </w:t>
            </w:r>
          </w:p>
        </w:tc>
        <w:tc>
          <w:tcPr>
            <w:tcW w:w="1249" w:type="dxa"/>
            <w:hideMark/>
          </w:tcPr>
          <w:p w14:paraId="3C1663D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R$ 2,41 </w:t>
            </w:r>
          </w:p>
        </w:tc>
        <w:tc>
          <w:tcPr>
            <w:tcW w:w="1178" w:type="dxa"/>
            <w:hideMark/>
          </w:tcPr>
          <w:p w14:paraId="4201B4E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R$ 2,33 </w:t>
            </w:r>
          </w:p>
        </w:tc>
        <w:tc>
          <w:tcPr>
            <w:tcW w:w="1093" w:type="dxa"/>
            <w:hideMark/>
          </w:tcPr>
          <w:p w14:paraId="5685F4C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R$ 2,46 </w:t>
            </w:r>
          </w:p>
        </w:tc>
        <w:tc>
          <w:tcPr>
            <w:tcW w:w="990" w:type="dxa"/>
            <w:hideMark/>
          </w:tcPr>
          <w:p w14:paraId="6C0C87F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R$ 2,73 </w:t>
            </w:r>
          </w:p>
        </w:tc>
      </w:tr>
      <w:tr w:rsidR="008729F9" w:rsidRPr="008729F9" w14:paraId="0261606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0F0BA3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Depasa</w:t>
            </w:r>
          </w:p>
        </w:tc>
        <w:tc>
          <w:tcPr>
            <w:tcW w:w="1248" w:type="dxa"/>
            <w:hideMark/>
          </w:tcPr>
          <w:p w14:paraId="4E23A33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R$ 3,84 </w:t>
            </w:r>
          </w:p>
        </w:tc>
        <w:tc>
          <w:tcPr>
            <w:tcW w:w="1249" w:type="dxa"/>
            <w:hideMark/>
          </w:tcPr>
          <w:p w14:paraId="4838943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R$ 3,71 </w:t>
            </w:r>
          </w:p>
        </w:tc>
        <w:tc>
          <w:tcPr>
            <w:tcW w:w="1249" w:type="dxa"/>
            <w:hideMark/>
          </w:tcPr>
          <w:p w14:paraId="3D9C21F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R$ 4,77 </w:t>
            </w:r>
          </w:p>
        </w:tc>
        <w:tc>
          <w:tcPr>
            <w:tcW w:w="1178" w:type="dxa"/>
            <w:hideMark/>
          </w:tcPr>
          <w:p w14:paraId="29D0860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R$ 2,09 </w:t>
            </w:r>
          </w:p>
        </w:tc>
        <w:tc>
          <w:tcPr>
            <w:tcW w:w="1093" w:type="dxa"/>
            <w:hideMark/>
          </w:tcPr>
          <w:p w14:paraId="3FB1BCD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R$ 1,71 </w:t>
            </w:r>
          </w:p>
        </w:tc>
        <w:tc>
          <w:tcPr>
            <w:tcW w:w="990" w:type="dxa"/>
            <w:hideMark/>
          </w:tcPr>
          <w:p w14:paraId="20A5595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R$ 2,02 </w:t>
            </w:r>
          </w:p>
        </w:tc>
      </w:tr>
      <w:tr w:rsidR="008729F9" w:rsidRPr="008729F9" w14:paraId="252ACF7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CBB5A2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Deso</w:t>
            </w:r>
          </w:p>
        </w:tc>
        <w:tc>
          <w:tcPr>
            <w:tcW w:w="1248" w:type="dxa"/>
            <w:hideMark/>
          </w:tcPr>
          <w:p w14:paraId="6A7E801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R$ 2,85 </w:t>
            </w:r>
          </w:p>
        </w:tc>
        <w:tc>
          <w:tcPr>
            <w:tcW w:w="1249" w:type="dxa"/>
            <w:hideMark/>
          </w:tcPr>
          <w:p w14:paraId="120578F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R$ 2,69 </w:t>
            </w:r>
          </w:p>
        </w:tc>
        <w:tc>
          <w:tcPr>
            <w:tcW w:w="1249" w:type="dxa"/>
            <w:hideMark/>
          </w:tcPr>
          <w:p w14:paraId="76FF019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R$ 2,87 </w:t>
            </w:r>
          </w:p>
        </w:tc>
        <w:tc>
          <w:tcPr>
            <w:tcW w:w="1178" w:type="dxa"/>
            <w:hideMark/>
          </w:tcPr>
          <w:p w14:paraId="2FEDA20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R$ 2,94 </w:t>
            </w:r>
          </w:p>
        </w:tc>
        <w:tc>
          <w:tcPr>
            <w:tcW w:w="1093" w:type="dxa"/>
            <w:hideMark/>
          </w:tcPr>
          <w:p w14:paraId="4A6CBC3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R$ 3,15 </w:t>
            </w:r>
          </w:p>
        </w:tc>
        <w:tc>
          <w:tcPr>
            <w:tcW w:w="990" w:type="dxa"/>
            <w:hideMark/>
          </w:tcPr>
          <w:p w14:paraId="487E024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R$ 3,30 </w:t>
            </w:r>
          </w:p>
        </w:tc>
      </w:tr>
      <w:tr w:rsidR="008729F9" w:rsidRPr="008729F9" w14:paraId="7973569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664CD8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Embasa</w:t>
            </w:r>
          </w:p>
        </w:tc>
        <w:tc>
          <w:tcPr>
            <w:tcW w:w="1248" w:type="dxa"/>
            <w:hideMark/>
          </w:tcPr>
          <w:p w14:paraId="142CDB8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R$ 1,59 </w:t>
            </w:r>
          </w:p>
        </w:tc>
        <w:tc>
          <w:tcPr>
            <w:tcW w:w="1249" w:type="dxa"/>
            <w:hideMark/>
          </w:tcPr>
          <w:p w14:paraId="17EF9CA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R$ 1,81 </w:t>
            </w:r>
          </w:p>
        </w:tc>
        <w:tc>
          <w:tcPr>
            <w:tcW w:w="1249" w:type="dxa"/>
            <w:hideMark/>
          </w:tcPr>
          <w:p w14:paraId="5E59396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R$ 2,11 </w:t>
            </w:r>
          </w:p>
        </w:tc>
        <w:tc>
          <w:tcPr>
            <w:tcW w:w="1178" w:type="dxa"/>
            <w:hideMark/>
          </w:tcPr>
          <w:p w14:paraId="1FFC585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R$ 2,24 </w:t>
            </w:r>
          </w:p>
        </w:tc>
        <w:tc>
          <w:tcPr>
            <w:tcW w:w="1093" w:type="dxa"/>
            <w:hideMark/>
          </w:tcPr>
          <w:p w14:paraId="2ED5203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R$ 2,19 </w:t>
            </w:r>
          </w:p>
        </w:tc>
        <w:tc>
          <w:tcPr>
            <w:tcW w:w="990" w:type="dxa"/>
            <w:hideMark/>
          </w:tcPr>
          <w:p w14:paraId="4141194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R$ 2,67 </w:t>
            </w:r>
          </w:p>
        </w:tc>
      </w:tr>
      <w:tr w:rsidR="008729F9" w:rsidRPr="008729F9" w14:paraId="2C31484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8CEAA1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Sabesp</w:t>
            </w:r>
          </w:p>
        </w:tc>
        <w:tc>
          <w:tcPr>
            <w:tcW w:w="1248" w:type="dxa"/>
            <w:hideMark/>
          </w:tcPr>
          <w:p w14:paraId="0B60F5B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R$ 1,24 </w:t>
            </w:r>
          </w:p>
        </w:tc>
        <w:tc>
          <w:tcPr>
            <w:tcW w:w="1249" w:type="dxa"/>
            <w:hideMark/>
          </w:tcPr>
          <w:p w14:paraId="21BF963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R$ 1,42 </w:t>
            </w:r>
          </w:p>
        </w:tc>
        <w:tc>
          <w:tcPr>
            <w:tcW w:w="1249" w:type="dxa"/>
            <w:hideMark/>
          </w:tcPr>
          <w:p w14:paraId="4DF2BE4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R$ 1,43 </w:t>
            </w:r>
          </w:p>
        </w:tc>
        <w:tc>
          <w:tcPr>
            <w:tcW w:w="1178" w:type="dxa"/>
            <w:hideMark/>
          </w:tcPr>
          <w:p w14:paraId="747AA51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R$ 1,48 </w:t>
            </w:r>
          </w:p>
        </w:tc>
        <w:tc>
          <w:tcPr>
            <w:tcW w:w="1093" w:type="dxa"/>
            <w:hideMark/>
          </w:tcPr>
          <w:p w14:paraId="201D95B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R$ 1,63 </w:t>
            </w:r>
          </w:p>
        </w:tc>
        <w:tc>
          <w:tcPr>
            <w:tcW w:w="990" w:type="dxa"/>
            <w:hideMark/>
          </w:tcPr>
          <w:p w14:paraId="2A05664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R$ 1,49 </w:t>
            </w:r>
          </w:p>
        </w:tc>
      </w:tr>
      <w:tr w:rsidR="008729F9" w:rsidRPr="008729F9" w14:paraId="7158CB4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9AE6BC9"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Saneago</w:t>
            </w:r>
          </w:p>
        </w:tc>
        <w:tc>
          <w:tcPr>
            <w:tcW w:w="1248" w:type="dxa"/>
            <w:hideMark/>
          </w:tcPr>
          <w:p w14:paraId="3369ED5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R$ 1,86 </w:t>
            </w:r>
          </w:p>
        </w:tc>
        <w:tc>
          <w:tcPr>
            <w:tcW w:w="1249" w:type="dxa"/>
            <w:hideMark/>
          </w:tcPr>
          <w:p w14:paraId="01C3DFA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R$ 2,36 </w:t>
            </w:r>
          </w:p>
        </w:tc>
        <w:tc>
          <w:tcPr>
            <w:tcW w:w="1249" w:type="dxa"/>
            <w:hideMark/>
          </w:tcPr>
          <w:p w14:paraId="5266EAF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R$ 2,27 </w:t>
            </w:r>
          </w:p>
        </w:tc>
        <w:tc>
          <w:tcPr>
            <w:tcW w:w="1178" w:type="dxa"/>
            <w:hideMark/>
          </w:tcPr>
          <w:p w14:paraId="515110E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R$ 2,46 </w:t>
            </w:r>
          </w:p>
        </w:tc>
        <w:tc>
          <w:tcPr>
            <w:tcW w:w="1093" w:type="dxa"/>
            <w:hideMark/>
          </w:tcPr>
          <w:p w14:paraId="2E01379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R$ 2,83 </w:t>
            </w:r>
          </w:p>
        </w:tc>
        <w:tc>
          <w:tcPr>
            <w:tcW w:w="990" w:type="dxa"/>
            <w:hideMark/>
          </w:tcPr>
          <w:p w14:paraId="7FBF84D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R$ 3,31 </w:t>
            </w:r>
          </w:p>
        </w:tc>
      </w:tr>
      <w:tr w:rsidR="008729F9" w:rsidRPr="008729F9" w14:paraId="14EBC91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67C5203"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val="es-CO" w:eastAsia="es-CO"/>
              </w:rPr>
              <w:t>Saneatins</w:t>
            </w:r>
          </w:p>
        </w:tc>
        <w:tc>
          <w:tcPr>
            <w:tcW w:w="1248" w:type="dxa"/>
            <w:hideMark/>
          </w:tcPr>
          <w:p w14:paraId="1A6345D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R$ 1,74</w:t>
            </w:r>
          </w:p>
        </w:tc>
        <w:tc>
          <w:tcPr>
            <w:tcW w:w="1249" w:type="dxa"/>
            <w:hideMark/>
          </w:tcPr>
          <w:p w14:paraId="6D7AE93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R$ 1,48</w:t>
            </w:r>
          </w:p>
        </w:tc>
        <w:tc>
          <w:tcPr>
            <w:tcW w:w="1249" w:type="dxa"/>
            <w:hideMark/>
          </w:tcPr>
          <w:p w14:paraId="1F53132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R$ 0,65</w:t>
            </w:r>
          </w:p>
        </w:tc>
        <w:tc>
          <w:tcPr>
            <w:tcW w:w="1178" w:type="dxa"/>
            <w:hideMark/>
          </w:tcPr>
          <w:p w14:paraId="5113271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R$ 1,62</w:t>
            </w:r>
          </w:p>
        </w:tc>
        <w:tc>
          <w:tcPr>
            <w:tcW w:w="1093" w:type="dxa"/>
            <w:hideMark/>
          </w:tcPr>
          <w:p w14:paraId="66CEBE3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R$ 2,12</w:t>
            </w:r>
          </w:p>
        </w:tc>
        <w:tc>
          <w:tcPr>
            <w:tcW w:w="990" w:type="dxa"/>
            <w:hideMark/>
          </w:tcPr>
          <w:p w14:paraId="24636A2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R$ 1,96</w:t>
            </w:r>
          </w:p>
        </w:tc>
      </w:tr>
      <w:tr w:rsidR="008729F9" w:rsidRPr="008729F9" w14:paraId="559F81F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48E1AF3"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Sanepar</w:t>
            </w:r>
          </w:p>
        </w:tc>
        <w:tc>
          <w:tcPr>
            <w:tcW w:w="1248" w:type="dxa"/>
            <w:hideMark/>
          </w:tcPr>
          <w:p w14:paraId="4AAC9A7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R$ 1,22 </w:t>
            </w:r>
          </w:p>
        </w:tc>
        <w:tc>
          <w:tcPr>
            <w:tcW w:w="1249" w:type="dxa"/>
            <w:hideMark/>
          </w:tcPr>
          <w:p w14:paraId="5AAEBE4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R$ 1,30 </w:t>
            </w:r>
          </w:p>
        </w:tc>
        <w:tc>
          <w:tcPr>
            <w:tcW w:w="1249" w:type="dxa"/>
            <w:hideMark/>
          </w:tcPr>
          <w:p w14:paraId="7CC70EC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R$ 1,05 </w:t>
            </w:r>
          </w:p>
        </w:tc>
        <w:tc>
          <w:tcPr>
            <w:tcW w:w="1178" w:type="dxa"/>
            <w:hideMark/>
          </w:tcPr>
          <w:p w14:paraId="7B8E9F5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R$ 1,69 </w:t>
            </w:r>
          </w:p>
        </w:tc>
        <w:tc>
          <w:tcPr>
            <w:tcW w:w="1093" w:type="dxa"/>
            <w:hideMark/>
          </w:tcPr>
          <w:p w14:paraId="2984A01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R$ 1,88 </w:t>
            </w:r>
          </w:p>
        </w:tc>
        <w:tc>
          <w:tcPr>
            <w:tcW w:w="990" w:type="dxa"/>
            <w:hideMark/>
          </w:tcPr>
          <w:p w14:paraId="5FFF063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R$ 2,23 </w:t>
            </w:r>
          </w:p>
        </w:tc>
      </w:tr>
      <w:tr w:rsidR="008729F9" w:rsidRPr="008729F9" w14:paraId="0F1FE1E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348D955"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Sanesul</w:t>
            </w:r>
          </w:p>
        </w:tc>
        <w:tc>
          <w:tcPr>
            <w:tcW w:w="1248" w:type="dxa"/>
            <w:hideMark/>
          </w:tcPr>
          <w:p w14:paraId="7CC6897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R$ 1,93 </w:t>
            </w:r>
          </w:p>
        </w:tc>
        <w:tc>
          <w:tcPr>
            <w:tcW w:w="1249" w:type="dxa"/>
            <w:hideMark/>
          </w:tcPr>
          <w:p w14:paraId="6794702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R$ 2,02 </w:t>
            </w:r>
          </w:p>
        </w:tc>
        <w:tc>
          <w:tcPr>
            <w:tcW w:w="1249" w:type="dxa"/>
            <w:hideMark/>
          </w:tcPr>
          <w:p w14:paraId="44A02F0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R$ 2,12 </w:t>
            </w:r>
          </w:p>
        </w:tc>
        <w:tc>
          <w:tcPr>
            <w:tcW w:w="1178" w:type="dxa"/>
            <w:hideMark/>
          </w:tcPr>
          <w:p w14:paraId="5038569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R$ 2,26 </w:t>
            </w:r>
          </w:p>
        </w:tc>
        <w:tc>
          <w:tcPr>
            <w:tcW w:w="1093" w:type="dxa"/>
            <w:hideMark/>
          </w:tcPr>
          <w:p w14:paraId="1C5DAF4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R$ 2,51 </w:t>
            </w:r>
          </w:p>
        </w:tc>
        <w:tc>
          <w:tcPr>
            <w:tcW w:w="990" w:type="dxa"/>
            <w:hideMark/>
          </w:tcPr>
          <w:p w14:paraId="511AE06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R$ 2,80 </w:t>
            </w:r>
          </w:p>
        </w:tc>
      </w:tr>
    </w:tbl>
    <w:p w14:paraId="7C36D44A" w14:textId="5FF0FB01" w:rsidR="00214B39" w:rsidRPr="00042F25" w:rsidRDefault="00C376F1" w:rsidP="00C90E47">
      <w:pPr>
        <w:pStyle w:val="Descripcin"/>
        <w:spacing w:before="0" w:beforeAutospacing="0"/>
        <w:jc w:val="left"/>
        <w:rPr>
          <w:sz w:val="20"/>
        </w:rPr>
      </w:pPr>
      <w:r w:rsidRPr="00042F25">
        <w:rPr>
          <w:sz w:val="20"/>
        </w:rPr>
        <w:t>Fonte: SNIS 2015. Elaborado por: GO Associados</w:t>
      </w:r>
    </w:p>
    <w:p w14:paraId="798DA791" w14:textId="77777777" w:rsidR="001120C9" w:rsidRPr="00042F25" w:rsidRDefault="001120C9" w:rsidP="00C90E47"/>
    <w:p w14:paraId="1ECB0F7C" w14:textId="0178C673" w:rsidR="00716C83" w:rsidRPr="00042F25" w:rsidRDefault="00716C83" w:rsidP="00C71C89">
      <w:pPr>
        <w:pStyle w:val="Ttulo2"/>
        <w:ind w:left="1427"/>
      </w:pPr>
      <w:bookmarkStart w:id="37" w:name="_Toc493094930"/>
      <w:r w:rsidRPr="00042F25">
        <w:t>Índice</w:t>
      </w:r>
      <w:r w:rsidR="00A30FCF" w:rsidRPr="00042F25">
        <w:t>s</w:t>
      </w:r>
      <w:r w:rsidRPr="00042F25">
        <w:t xml:space="preserve"> de perdas</w:t>
      </w:r>
      <w:bookmarkEnd w:id="37"/>
    </w:p>
    <w:p w14:paraId="2E9DC0D9" w14:textId="7C60E2B2" w:rsidR="000969B4" w:rsidRPr="00042F25" w:rsidRDefault="000969B4" w:rsidP="005F319C">
      <w:pPr>
        <w:rPr>
          <w:highlight w:val="yellow"/>
        </w:rPr>
      </w:pPr>
      <w:r w:rsidRPr="00042F25">
        <w:t xml:space="preserve">Os índices de </w:t>
      </w:r>
      <w:r w:rsidR="00544F1E" w:rsidRPr="00042F25">
        <w:t>perdas</w:t>
      </w:r>
      <w:r w:rsidR="00E30740" w:rsidRPr="00042F25">
        <w:t xml:space="preserve"> podem ser dividido</w:t>
      </w:r>
      <w:r w:rsidRPr="00042F25">
        <w:t xml:space="preserve">s em </w:t>
      </w:r>
      <w:r w:rsidR="00544F1E" w:rsidRPr="00042F25">
        <w:t>três parâmetros</w:t>
      </w:r>
      <w:r w:rsidRPr="00042F25">
        <w:t xml:space="preserve">: </w:t>
      </w:r>
      <w:r w:rsidR="00544F1E" w:rsidRPr="00042F25">
        <w:t>o primeiro</w:t>
      </w:r>
      <w:r w:rsidR="00610E5F" w:rsidRPr="00042F25">
        <w:t xml:space="preserve"> seria</w:t>
      </w:r>
      <w:r w:rsidRPr="00042F25">
        <w:t xml:space="preserve"> </w:t>
      </w:r>
      <w:r w:rsidR="00F62C55" w:rsidRPr="00042F25">
        <w:t>no</w:t>
      </w:r>
      <w:r w:rsidR="00CB42F0" w:rsidRPr="00042F25">
        <w:t xml:space="preserve"> faturamento</w:t>
      </w:r>
      <w:r w:rsidRPr="00042F25">
        <w:t xml:space="preserve"> (IN0</w:t>
      </w:r>
      <w:r w:rsidR="00CB42F0" w:rsidRPr="00042F25">
        <w:t>13</w:t>
      </w:r>
      <w:r w:rsidRPr="00042F25">
        <w:t>)</w:t>
      </w:r>
      <w:r w:rsidR="00CB42F0" w:rsidRPr="00042F25">
        <w:t xml:space="preserve">, expresso em </w:t>
      </w:r>
      <w:r w:rsidR="00875CFA">
        <w:t>percentagem</w:t>
      </w:r>
      <w:r w:rsidR="00CB42F0" w:rsidRPr="00042F25">
        <w:t xml:space="preserve">, </w:t>
      </w:r>
      <w:r w:rsidRPr="00042F25">
        <w:t>o</w:t>
      </w:r>
      <w:r w:rsidR="00CB42F0" w:rsidRPr="00042F25">
        <w:t xml:space="preserve"> segundo</w:t>
      </w:r>
      <w:r w:rsidR="00610E5F" w:rsidRPr="00042F25">
        <w:t xml:space="preserve"> seria</w:t>
      </w:r>
      <w:r w:rsidRPr="00042F25">
        <w:t xml:space="preserve"> </w:t>
      </w:r>
      <w:r w:rsidR="00E839F4" w:rsidRPr="00042F25">
        <w:t>na distribuição</w:t>
      </w:r>
      <w:r w:rsidR="00CB42F0" w:rsidRPr="00042F25">
        <w:t xml:space="preserve"> (IN04</w:t>
      </w:r>
      <w:r w:rsidRPr="00042F25">
        <w:t>9)</w:t>
      </w:r>
      <w:r w:rsidR="00610E5F" w:rsidRPr="00042F25">
        <w:t xml:space="preserve">, expresso em </w:t>
      </w:r>
      <w:r w:rsidR="00875CFA">
        <w:t>percentagem</w:t>
      </w:r>
      <w:r w:rsidR="00875CFA" w:rsidRPr="00042F25" w:rsidDel="00875CFA">
        <w:t>,</w:t>
      </w:r>
      <w:r w:rsidR="00610E5F" w:rsidRPr="00042F25">
        <w:t xml:space="preserve"> e o terceiro seria por ligação</w:t>
      </w:r>
      <w:r w:rsidR="00E839F4" w:rsidRPr="00042F25">
        <w:t xml:space="preserve"> (IN051)</w:t>
      </w:r>
      <w:r w:rsidR="00F62C55" w:rsidRPr="00042F25">
        <w:t>, expresso em litros/dia/ligação</w:t>
      </w:r>
      <w:r w:rsidR="00610E5F" w:rsidRPr="00042F25">
        <w:t>.</w:t>
      </w:r>
      <w:r w:rsidRPr="00042F25">
        <w:t xml:space="preserve"> O</w:t>
      </w:r>
      <w:r w:rsidR="00610E5F" w:rsidRPr="00042F25">
        <w:t>s três</w:t>
      </w:r>
      <w:r w:rsidRPr="00042F25">
        <w:t xml:space="preserve"> í</w:t>
      </w:r>
      <w:r w:rsidR="00276755" w:rsidRPr="00042F25">
        <w:t>ndices são calculados através do</w:t>
      </w:r>
      <w:r w:rsidRPr="00042F25">
        <w:t xml:space="preserve"> </w:t>
      </w:r>
      <w:r w:rsidR="00276755" w:rsidRPr="00042F25">
        <w:t xml:space="preserve">volume de água produzido </w:t>
      </w:r>
      <w:r w:rsidR="00276755" w:rsidRPr="00042F25">
        <w:lastRenderedPageBreak/>
        <w:t>(AG006), do volume de água tratada importado (AG018) e do volume de serviço (AG024)</w:t>
      </w:r>
      <w:r w:rsidR="005F319C" w:rsidRPr="00042F25">
        <w:t xml:space="preserve">, mas para o IN013, o volume de água faturado (AG011) é usado, enquanto que no IN049, o volume de água consumido (AG010) é usado, e o IN051 utiliza tanto volume de água consumido (AG010) </w:t>
      </w:r>
      <w:r w:rsidR="00FE6784" w:rsidRPr="00042F25">
        <w:t>como a</w:t>
      </w:r>
      <w:r w:rsidR="005F319C" w:rsidRPr="00042F25">
        <w:t xml:space="preserve"> quantidade de ligações ativas de água (AG002)</w:t>
      </w:r>
      <w:r w:rsidRPr="00042F25">
        <w:t xml:space="preserve">: </w:t>
      </w:r>
    </w:p>
    <w:p w14:paraId="2DEAE0A8" w14:textId="38B45A54" w:rsidR="00CB42F0" w:rsidRPr="00042F25" w:rsidRDefault="00CB42F0" w:rsidP="00CB42F0">
      <w:pPr>
        <w:jc w:val="center"/>
      </w:pPr>
      <m:oMathPara>
        <m:oMath>
          <m:r>
            <w:rPr>
              <w:rFonts w:ascii="Cambria Math" w:hAnsi="Cambria Math"/>
            </w:rPr>
            <m:t xml:space="preserve">IN013= </m:t>
          </m:r>
          <m:f>
            <m:fPr>
              <m:ctrlPr>
                <w:rPr>
                  <w:rFonts w:ascii="Cambria Math" w:hAnsi="Cambria Math"/>
                  <w:i/>
                </w:rPr>
              </m:ctrlPr>
            </m:fPr>
            <m:num>
              <m:r>
                <w:rPr>
                  <w:rFonts w:ascii="Cambria Math" w:hAnsi="Cambria Math"/>
                </w:rPr>
                <m:t>AG006+AG018-AG011-AG024</m:t>
              </m:r>
            </m:num>
            <m:den>
              <m:r>
                <w:rPr>
                  <w:rFonts w:ascii="Cambria Math" w:hAnsi="Cambria Math"/>
                </w:rPr>
                <m:t>AG006+AG018-AG024</m:t>
              </m:r>
            </m:den>
          </m:f>
          <m:r>
            <w:rPr>
              <w:rFonts w:ascii="Cambria Math" w:hAnsi="Cambria Math"/>
            </w:rPr>
            <m:t>*100</m:t>
          </m:r>
        </m:oMath>
      </m:oMathPara>
    </w:p>
    <w:p w14:paraId="010D744F" w14:textId="53A983F3" w:rsidR="00CB42F0" w:rsidRPr="00042F25" w:rsidRDefault="00CB42F0" w:rsidP="00CB42F0">
      <w:pPr>
        <w:jc w:val="center"/>
      </w:pPr>
      <m:oMathPara>
        <m:oMath>
          <m:r>
            <w:rPr>
              <w:rFonts w:ascii="Cambria Math" w:hAnsi="Cambria Math"/>
            </w:rPr>
            <m:t xml:space="preserve">IN049= </m:t>
          </m:r>
          <m:f>
            <m:fPr>
              <m:ctrlPr>
                <w:rPr>
                  <w:rFonts w:ascii="Cambria Math" w:hAnsi="Cambria Math"/>
                  <w:i/>
                </w:rPr>
              </m:ctrlPr>
            </m:fPr>
            <m:num>
              <m:r>
                <w:rPr>
                  <w:rFonts w:ascii="Cambria Math" w:hAnsi="Cambria Math"/>
                </w:rPr>
                <m:t>AG006+AG018-AG010-AG024</m:t>
              </m:r>
            </m:num>
            <m:den>
              <m:r>
                <w:rPr>
                  <w:rFonts w:ascii="Cambria Math" w:hAnsi="Cambria Math"/>
                </w:rPr>
                <m:t>AG006+AG018-AG024</m:t>
              </m:r>
            </m:den>
          </m:f>
          <m:r>
            <w:rPr>
              <w:rFonts w:ascii="Cambria Math" w:hAnsi="Cambria Math"/>
            </w:rPr>
            <m:t>*100</m:t>
          </m:r>
        </m:oMath>
      </m:oMathPara>
    </w:p>
    <w:p w14:paraId="79FA2952" w14:textId="13FA5D68" w:rsidR="00CB42F0" w:rsidRPr="00042F25" w:rsidRDefault="00CB42F0" w:rsidP="005F319C">
      <w:pPr>
        <w:jc w:val="center"/>
      </w:pPr>
      <m:oMathPara>
        <m:oMath>
          <m:r>
            <w:rPr>
              <w:rFonts w:ascii="Cambria Math" w:hAnsi="Cambria Math"/>
            </w:rPr>
            <m:t xml:space="preserve">IN051= </m:t>
          </m:r>
          <m:f>
            <m:fPr>
              <m:ctrlPr>
                <w:rPr>
                  <w:rFonts w:ascii="Cambria Math" w:hAnsi="Cambria Math"/>
                  <w:i/>
                </w:rPr>
              </m:ctrlPr>
            </m:fPr>
            <m:num>
              <m:r>
                <w:rPr>
                  <w:rFonts w:ascii="Cambria Math" w:hAnsi="Cambria Math"/>
                </w:rPr>
                <m:t>AG006+AG018-AG010-AG024</m:t>
              </m:r>
            </m:num>
            <m:den>
              <m:r>
                <w:rPr>
                  <w:rFonts w:ascii="Cambria Math" w:hAnsi="Cambria Math"/>
                </w:rPr>
                <m:t>AG002</m:t>
              </m:r>
            </m:den>
          </m:f>
          <m:r>
            <w:rPr>
              <w:rFonts w:ascii="Cambria Math" w:hAnsi="Cambria Math"/>
            </w:rPr>
            <m:t>*</m:t>
          </m:r>
          <m:f>
            <m:fPr>
              <m:ctrlPr>
                <w:rPr>
                  <w:rFonts w:ascii="Cambria Math" w:hAnsi="Cambria Math"/>
                  <w:i/>
                </w:rPr>
              </m:ctrlPr>
            </m:fPr>
            <m:num>
              <m:r>
                <w:rPr>
                  <w:rFonts w:ascii="Cambria Math" w:hAnsi="Cambria Math"/>
                </w:rPr>
                <m:t>1.000.000</m:t>
              </m:r>
            </m:num>
            <m:den>
              <m:r>
                <w:rPr>
                  <w:rFonts w:ascii="Cambria Math" w:hAnsi="Cambria Math"/>
                </w:rPr>
                <m:t>365</m:t>
              </m:r>
            </m:den>
          </m:f>
        </m:oMath>
      </m:oMathPara>
    </w:p>
    <w:p w14:paraId="19E2F270" w14:textId="0FB47AB6" w:rsidR="00716C83" w:rsidRDefault="00E1744E" w:rsidP="00716C83">
      <w:r w:rsidRPr="00042F25">
        <w:t>Estes indicadores informam o volume de água distribuído que é perdido até a apuração do volume consumido pelos usuários, seja por questões técnicas (</w:t>
      </w:r>
      <w:r w:rsidR="00CD1E03" w:rsidRPr="00042F25">
        <w:t xml:space="preserve">perdas físicas ou </w:t>
      </w:r>
      <w:r w:rsidR="00FE6784" w:rsidRPr="00042F25">
        <w:t>reais.</w:t>
      </w:r>
      <w:r w:rsidR="00CD1E03" w:rsidRPr="00042F25">
        <w:t xml:space="preserve"> Ex. </w:t>
      </w:r>
      <w:r w:rsidRPr="00042F25">
        <w:t>vazamentos) ou co</w:t>
      </w:r>
      <w:r w:rsidR="00CD1E03" w:rsidRPr="00042F25">
        <w:t>merciais (perdas aparentes Ex. fraudes, hidrometração</w:t>
      </w:r>
      <w:r w:rsidRPr="00042F25">
        <w:t xml:space="preserve"> deficiente etc</w:t>
      </w:r>
      <w:r w:rsidR="00CD1E03" w:rsidRPr="00042F25">
        <w:t>.).</w:t>
      </w:r>
    </w:p>
    <w:p w14:paraId="04533E03" w14:textId="2CB59520" w:rsidR="007A5B13" w:rsidRPr="00042F25" w:rsidRDefault="007A5B13" w:rsidP="00716C83">
      <w:r>
        <w:t>A média da amostra em 2015 para as perdas de faturamento foi de 39,6%, para as perdas da distribuição 44% e para a perdas por ligação 499,57 l/ligação/dia.</w:t>
      </w:r>
    </w:p>
    <w:p w14:paraId="327B7E11" w14:textId="4DF79052" w:rsidR="00716C83" w:rsidRDefault="00716C83" w:rsidP="00716C83">
      <w:pPr>
        <w:pStyle w:val="Descripcin"/>
      </w:pPr>
      <w:bookmarkStart w:id="38" w:name="_Toc493222483"/>
      <w:r w:rsidRPr="00042F25">
        <w:t xml:space="preserve">Quadro </w:t>
      </w:r>
      <w:fldSimple w:instr=" SEQ Quadro \* ARABIC ">
        <w:r w:rsidR="00B64D1C" w:rsidRPr="00042F25">
          <w:rPr>
            <w:noProof/>
          </w:rPr>
          <w:t>20</w:t>
        </w:r>
      </w:fldSimple>
      <w:r w:rsidRPr="00042F25">
        <w:t xml:space="preserve"> – Índice de </w:t>
      </w:r>
      <w:r w:rsidR="001512A0" w:rsidRPr="00042F25">
        <w:t>P</w:t>
      </w:r>
      <w:r w:rsidRPr="00042F25">
        <w:t xml:space="preserve">erdas de </w:t>
      </w:r>
      <w:r w:rsidR="001512A0" w:rsidRPr="00042F25">
        <w:t>F</w:t>
      </w:r>
      <w:r w:rsidRPr="00042F25">
        <w:t xml:space="preserve">aturamento </w:t>
      </w:r>
      <w:r w:rsidR="001120C9" w:rsidRPr="00042F25">
        <w:t>(</w:t>
      </w:r>
      <w:r w:rsidRPr="00042F25">
        <w:t>IN013</w:t>
      </w:r>
      <w:r w:rsidR="001120C9" w:rsidRPr="00042F25">
        <w:t>)</w:t>
      </w:r>
      <w:bookmarkEnd w:id="38"/>
    </w:p>
    <w:tbl>
      <w:tblPr>
        <w:tblStyle w:val="Tabladecuadrcula4-nfasis11"/>
        <w:tblW w:w="8251" w:type="dxa"/>
        <w:jc w:val="center"/>
        <w:tblLook w:val="04A0" w:firstRow="1" w:lastRow="0" w:firstColumn="1" w:lastColumn="0" w:noHBand="0" w:noVBand="1"/>
      </w:tblPr>
      <w:tblGrid>
        <w:gridCol w:w="1487"/>
        <w:gridCol w:w="1005"/>
        <w:gridCol w:w="1249"/>
        <w:gridCol w:w="1249"/>
        <w:gridCol w:w="1178"/>
        <w:gridCol w:w="1093"/>
        <w:gridCol w:w="990"/>
      </w:tblGrid>
      <w:tr w:rsidR="008729F9" w:rsidRPr="008729F9" w14:paraId="6111EE72" w14:textId="77777777" w:rsidTr="00EA348F">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AEFEB48" w14:textId="77777777" w:rsidR="008729F9" w:rsidRPr="008729F9" w:rsidRDefault="008729F9" w:rsidP="008729F9">
            <w:pPr>
              <w:spacing w:before="0" w:beforeAutospacing="0" w:after="0" w:afterAutospacing="0" w:line="240" w:lineRule="auto"/>
              <w:ind w:firstLine="0"/>
              <w:jc w:val="left"/>
              <w:rPr>
                <w:b w:val="0"/>
                <w:bCs w:val="0"/>
                <w:color w:val="FFFFFF"/>
                <w:sz w:val="22"/>
                <w:lang w:val="es-CO" w:eastAsia="es-CO"/>
              </w:rPr>
            </w:pPr>
            <w:r w:rsidRPr="008729F9">
              <w:rPr>
                <w:b w:val="0"/>
                <w:bCs w:val="0"/>
                <w:color w:val="FFFFFF"/>
                <w:sz w:val="22"/>
                <w:lang w:eastAsia="es-CO"/>
              </w:rPr>
              <w:t>Empresa</w:t>
            </w:r>
          </w:p>
        </w:tc>
        <w:tc>
          <w:tcPr>
            <w:tcW w:w="1005" w:type="dxa"/>
            <w:hideMark/>
          </w:tcPr>
          <w:p w14:paraId="2122088B"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2010</w:t>
            </w:r>
          </w:p>
        </w:tc>
        <w:tc>
          <w:tcPr>
            <w:tcW w:w="1249" w:type="dxa"/>
            <w:hideMark/>
          </w:tcPr>
          <w:p w14:paraId="31AE78BD"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2011</w:t>
            </w:r>
          </w:p>
        </w:tc>
        <w:tc>
          <w:tcPr>
            <w:tcW w:w="1249" w:type="dxa"/>
            <w:hideMark/>
          </w:tcPr>
          <w:p w14:paraId="0D5AC600"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2012</w:t>
            </w:r>
          </w:p>
        </w:tc>
        <w:tc>
          <w:tcPr>
            <w:tcW w:w="1178" w:type="dxa"/>
            <w:hideMark/>
          </w:tcPr>
          <w:p w14:paraId="6E6AB195"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2013</w:t>
            </w:r>
          </w:p>
        </w:tc>
        <w:tc>
          <w:tcPr>
            <w:tcW w:w="1093" w:type="dxa"/>
            <w:hideMark/>
          </w:tcPr>
          <w:p w14:paraId="0E2B9B31"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2014</w:t>
            </w:r>
          </w:p>
        </w:tc>
        <w:tc>
          <w:tcPr>
            <w:tcW w:w="990" w:type="dxa"/>
            <w:hideMark/>
          </w:tcPr>
          <w:p w14:paraId="39ED563B"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2015</w:t>
            </w:r>
          </w:p>
        </w:tc>
      </w:tr>
      <w:tr w:rsidR="008729F9" w:rsidRPr="008729F9" w14:paraId="402E473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7F5838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Agespisa</w:t>
            </w:r>
          </w:p>
        </w:tc>
        <w:tc>
          <w:tcPr>
            <w:tcW w:w="1005" w:type="dxa"/>
            <w:hideMark/>
          </w:tcPr>
          <w:p w14:paraId="70C38C0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46,17%</w:t>
            </w:r>
          </w:p>
        </w:tc>
        <w:tc>
          <w:tcPr>
            <w:tcW w:w="1249" w:type="dxa"/>
            <w:hideMark/>
          </w:tcPr>
          <w:p w14:paraId="18E025B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54,09%</w:t>
            </w:r>
          </w:p>
        </w:tc>
        <w:tc>
          <w:tcPr>
            <w:tcW w:w="1249" w:type="dxa"/>
            <w:hideMark/>
          </w:tcPr>
          <w:p w14:paraId="6A148FD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46,97%</w:t>
            </w:r>
          </w:p>
        </w:tc>
        <w:tc>
          <w:tcPr>
            <w:tcW w:w="1178" w:type="dxa"/>
            <w:hideMark/>
          </w:tcPr>
          <w:p w14:paraId="31DFE0B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44,38%</w:t>
            </w:r>
          </w:p>
        </w:tc>
        <w:tc>
          <w:tcPr>
            <w:tcW w:w="1093" w:type="dxa"/>
            <w:hideMark/>
          </w:tcPr>
          <w:p w14:paraId="74BC6E4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44,09%</w:t>
            </w:r>
          </w:p>
        </w:tc>
        <w:tc>
          <w:tcPr>
            <w:tcW w:w="990" w:type="dxa"/>
            <w:hideMark/>
          </w:tcPr>
          <w:p w14:paraId="7BDF4A3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36,65%</w:t>
            </w:r>
          </w:p>
        </w:tc>
      </w:tr>
      <w:tr w:rsidR="008729F9" w:rsidRPr="008729F9" w14:paraId="26F597C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A6DF359"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Caema</w:t>
            </w:r>
          </w:p>
        </w:tc>
        <w:tc>
          <w:tcPr>
            <w:tcW w:w="1005" w:type="dxa"/>
            <w:hideMark/>
          </w:tcPr>
          <w:p w14:paraId="771D814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68,17%</w:t>
            </w:r>
          </w:p>
        </w:tc>
        <w:tc>
          <w:tcPr>
            <w:tcW w:w="1249" w:type="dxa"/>
            <w:hideMark/>
          </w:tcPr>
          <w:p w14:paraId="41F5B33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67,63%</w:t>
            </w:r>
          </w:p>
        </w:tc>
        <w:tc>
          <w:tcPr>
            <w:tcW w:w="1249" w:type="dxa"/>
            <w:hideMark/>
          </w:tcPr>
          <w:p w14:paraId="09E871B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51,13%</w:t>
            </w:r>
          </w:p>
        </w:tc>
        <w:tc>
          <w:tcPr>
            <w:tcW w:w="1178" w:type="dxa"/>
            <w:hideMark/>
          </w:tcPr>
          <w:p w14:paraId="35601AB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68,52%</w:t>
            </w:r>
          </w:p>
        </w:tc>
        <w:tc>
          <w:tcPr>
            <w:tcW w:w="1093" w:type="dxa"/>
            <w:hideMark/>
          </w:tcPr>
          <w:p w14:paraId="42ED4A5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65,30%</w:t>
            </w:r>
          </w:p>
        </w:tc>
        <w:tc>
          <w:tcPr>
            <w:tcW w:w="990" w:type="dxa"/>
            <w:hideMark/>
          </w:tcPr>
          <w:p w14:paraId="2449315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66,97%</w:t>
            </w:r>
          </w:p>
        </w:tc>
      </w:tr>
      <w:tr w:rsidR="008729F9" w:rsidRPr="008729F9" w14:paraId="3A57557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6CBFB8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w:t>
            </w:r>
          </w:p>
        </w:tc>
        <w:tc>
          <w:tcPr>
            <w:tcW w:w="1005" w:type="dxa"/>
            <w:hideMark/>
          </w:tcPr>
          <w:p w14:paraId="4A7DC5F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64,29%</w:t>
            </w:r>
          </w:p>
        </w:tc>
        <w:tc>
          <w:tcPr>
            <w:tcW w:w="1249" w:type="dxa"/>
            <w:hideMark/>
          </w:tcPr>
          <w:p w14:paraId="5620264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62,32%</w:t>
            </w:r>
          </w:p>
        </w:tc>
        <w:tc>
          <w:tcPr>
            <w:tcW w:w="1249" w:type="dxa"/>
            <w:hideMark/>
          </w:tcPr>
          <w:p w14:paraId="2A68C58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64,55%</w:t>
            </w:r>
          </w:p>
        </w:tc>
        <w:tc>
          <w:tcPr>
            <w:tcW w:w="1178" w:type="dxa"/>
            <w:hideMark/>
          </w:tcPr>
          <w:p w14:paraId="106DFF0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62,35%</w:t>
            </w:r>
          </w:p>
        </w:tc>
        <w:tc>
          <w:tcPr>
            <w:tcW w:w="1093" w:type="dxa"/>
            <w:hideMark/>
          </w:tcPr>
          <w:p w14:paraId="66DD20C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63,06%</w:t>
            </w:r>
          </w:p>
        </w:tc>
        <w:tc>
          <w:tcPr>
            <w:tcW w:w="990" w:type="dxa"/>
            <w:hideMark/>
          </w:tcPr>
          <w:p w14:paraId="4C3F7AD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66,21%</w:t>
            </w:r>
          </w:p>
        </w:tc>
      </w:tr>
      <w:tr w:rsidR="008729F9" w:rsidRPr="008729F9" w14:paraId="3689C5C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3761F7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Caerd</w:t>
            </w:r>
          </w:p>
        </w:tc>
        <w:tc>
          <w:tcPr>
            <w:tcW w:w="1005" w:type="dxa"/>
            <w:hideMark/>
          </w:tcPr>
          <w:p w14:paraId="25A1769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62,22%</w:t>
            </w:r>
          </w:p>
        </w:tc>
        <w:tc>
          <w:tcPr>
            <w:tcW w:w="1249" w:type="dxa"/>
            <w:hideMark/>
          </w:tcPr>
          <w:p w14:paraId="3E4F435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61,17%</w:t>
            </w:r>
          </w:p>
        </w:tc>
        <w:tc>
          <w:tcPr>
            <w:tcW w:w="1249" w:type="dxa"/>
            <w:hideMark/>
          </w:tcPr>
          <w:p w14:paraId="01D73B3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59,61%</w:t>
            </w:r>
          </w:p>
        </w:tc>
        <w:tc>
          <w:tcPr>
            <w:tcW w:w="1178" w:type="dxa"/>
            <w:hideMark/>
          </w:tcPr>
          <w:p w14:paraId="3906B7C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57,02%</w:t>
            </w:r>
          </w:p>
        </w:tc>
        <w:tc>
          <w:tcPr>
            <w:tcW w:w="1093" w:type="dxa"/>
            <w:hideMark/>
          </w:tcPr>
          <w:p w14:paraId="51C5BD4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58,17%</w:t>
            </w:r>
          </w:p>
        </w:tc>
        <w:tc>
          <w:tcPr>
            <w:tcW w:w="990" w:type="dxa"/>
            <w:hideMark/>
          </w:tcPr>
          <w:p w14:paraId="29FBA8D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54,46%</w:t>
            </w:r>
          </w:p>
        </w:tc>
      </w:tr>
      <w:tr w:rsidR="008729F9" w:rsidRPr="008729F9" w14:paraId="7360940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E74620A"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Caern</w:t>
            </w:r>
          </w:p>
        </w:tc>
        <w:tc>
          <w:tcPr>
            <w:tcW w:w="1005" w:type="dxa"/>
            <w:hideMark/>
          </w:tcPr>
          <w:p w14:paraId="31E20D2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52,68%</w:t>
            </w:r>
          </w:p>
        </w:tc>
        <w:tc>
          <w:tcPr>
            <w:tcW w:w="1249" w:type="dxa"/>
            <w:hideMark/>
          </w:tcPr>
          <w:p w14:paraId="48202E4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51,43%</w:t>
            </w:r>
          </w:p>
        </w:tc>
        <w:tc>
          <w:tcPr>
            <w:tcW w:w="1249" w:type="dxa"/>
            <w:hideMark/>
          </w:tcPr>
          <w:p w14:paraId="159BEC6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49,26%</w:t>
            </w:r>
          </w:p>
        </w:tc>
        <w:tc>
          <w:tcPr>
            <w:tcW w:w="1178" w:type="dxa"/>
            <w:hideMark/>
          </w:tcPr>
          <w:p w14:paraId="19C7FA8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47,34%</w:t>
            </w:r>
          </w:p>
        </w:tc>
        <w:tc>
          <w:tcPr>
            <w:tcW w:w="1093" w:type="dxa"/>
            <w:hideMark/>
          </w:tcPr>
          <w:p w14:paraId="27E2530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45,03%</w:t>
            </w:r>
          </w:p>
        </w:tc>
        <w:tc>
          <w:tcPr>
            <w:tcW w:w="990" w:type="dxa"/>
            <w:hideMark/>
          </w:tcPr>
          <w:p w14:paraId="3098DCE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45,88%</w:t>
            </w:r>
          </w:p>
        </w:tc>
      </w:tr>
      <w:tr w:rsidR="008729F9" w:rsidRPr="008729F9" w14:paraId="1A644A9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B1C2DF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Caesa</w:t>
            </w:r>
          </w:p>
        </w:tc>
        <w:tc>
          <w:tcPr>
            <w:tcW w:w="1005" w:type="dxa"/>
            <w:hideMark/>
          </w:tcPr>
          <w:p w14:paraId="631BE04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74,16%</w:t>
            </w:r>
          </w:p>
        </w:tc>
        <w:tc>
          <w:tcPr>
            <w:tcW w:w="1249" w:type="dxa"/>
            <w:hideMark/>
          </w:tcPr>
          <w:p w14:paraId="3F76E5B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75,03%</w:t>
            </w:r>
          </w:p>
        </w:tc>
        <w:tc>
          <w:tcPr>
            <w:tcW w:w="1249" w:type="dxa"/>
            <w:hideMark/>
          </w:tcPr>
          <w:p w14:paraId="4F56AD7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73,48%</w:t>
            </w:r>
          </w:p>
        </w:tc>
        <w:tc>
          <w:tcPr>
            <w:tcW w:w="1178" w:type="dxa"/>
            <w:hideMark/>
          </w:tcPr>
          <w:p w14:paraId="4B4972D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76,54%</w:t>
            </w:r>
          </w:p>
        </w:tc>
        <w:tc>
          <w:tcPr>
            <w:tcW w:w="1093" w:type="dxa"/>
            <w:hideMark/>
          </w:tcPr>
          <w:p w14:paraId="5BC870C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71,17%</w:t>
            </w:r>
          </w:p>
        </w:tc>
        <w:tc>
          <w:tcPr>
            <w:tcW w:w="990" w:type="dxa"/>
            <w:hideMark/>
          </w:tcPr>
          <w:p w14:paraId="339C9DF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72,01%</w:t>
            </w:r>
          </w:p>
        </w:tc>
      </w:tr>
      <w:tr w:rsidR="008729F9" w:rsidRPr="008729F9" w14:paraId="5D480F2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48D8DF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Caesb</w:t>
            </w:r>
          </w:p>
        </w:tc>
        <w:tc>
          <w:tcPr>
            <w:tcW w:w="1005" w:type="dxa"/>
            <w:hideMark/>
          </w:tcPr>
          <w:p w14:paraId="158C2F2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23,12%</w:t>
            </w:r>
          </w:p>
        </w:tc>
        <w:tc>
          <w:tcPr>
            <w:tcW w:w="1249" w:type="dxa"/>
            <w:hideMark/>
          </w:tcPr>
          <w:p w14:paraId="3DF9864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23,44%</w:t>
            </w:r>
          </w:p>
        </w:tc>
        <w:tc>
          <w:tcPr>
            <w:tcW w:w="1249" w:type="dxa"/>
            <w:hideMark/>
          </w:tcPr>
          <w:p w14:paraId="28A1BBA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21,96%</w:t>
            </w:r>
          </w:p>
        </w:tc>
        <w:tc>
          <w:tcPr>
            <w:tcW w:w="1178" w:type="dxa"/>
            <w:hideMark/>
          </w:tcPr>
          <w:p w14:paraId="5FA87EF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26,89%</w:t>
            </w:r>
          </w:p>
        </w:tc>
        <w:tc>
          <w:tcPr>
            <w:tcW w:w="1093" w:type="dxa"/>
            <w:hideMark/>
          </w:tcPr>
          <w:p w14:paraId="5E1B6AE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25,44%</w:t>
            </w:r>
          </w:p>
        </w:tc>
        <w:tc>
          <w:tcPr>
            <w:tcW w:w="990" w:type="dxa"/>
            <w:hideMark/>
          </w:tcPr>
          <w:p w14:paraId="5CE1CB7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24,97%</w:t>
            </w:r>
          </w:p>
        </w:tc>
      </w:tr>
      <w:tr w:rsidR="008729F9" w:rsidRPr="008729F9" w14:paraId="788BCDD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07AA429"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Cagece</w:t>
            </w:r>
          </w:p>
        </w:tc>
        <w:tc>
          <w:tcPr>
            <w:tcW w:w="1005" w:type="dxa"/>
            <w:hideMark/>
          </w:tcPr>
          <w:p w14:paraId="6BF893E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20,15%</w:t>
            </w:r>
          </w:p>
        </w:tc>
        <w:tc>
          <w:tcPr>
            <w:tcW w:w="1249" w:type="dxa"/>
            <w:hideMark/>
          </w:tcPr>
          <w:p w14:paraId="3A5005E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27,01%</w:t>
            </w:r>
          </w:p>
        </w:tc>
        <w:tc>
          <w:tcPr>
            <w:tcW w:w="1249" w:type="dxa"/>
            <w:hideMark/>
          </w:tcPr>
          <w:p w14:paraId="2AFF2CE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27,73%</w:t>
            </w:r>
          </w:p>
        </w:tc>
        <w:tc>
          <w:tcPr>
            <w:tcW w:w="1178" w:type="dxa"/>
            <w:hideMark/>
          </w:tcPr>
          <w:p w14:paraId="1A69BC4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23,48%</w:t>
            </w:r>
          </w:p>
        </w:tc>
        <w:tc>
          <w:tcPr>
            <w:tcW w:w="1093" w:type="dxa"/>
            <w:hideMark/>
          </w:tcPr>
          <w:p w14:paraId="656807D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26,50%</w:t>
            </w:r>
          </w:p>
        </w:tc>
        <w:tc>
          <w:tcPr>
            <w:tcW w:w="990" w:type="dxa"/>
            <w:hideMark/>
          </w:tcPr>
          <w:p w14:paraId="6302ABF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26,23%</w:t>
            </w:r>
          </w:p>
        </w:tc>
      </w:tr>
      <w:tr w:rsidR="008729F9" w:rsidRPr="008729F9" w14:paraId="6BAB2AB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6638F6A"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Cagepa</w:t>
            </w:r>
          </w:p>
        </w:tc>
        <w:tc>
          <w:tcPr>
            <w:tcW w:w="1005" w:type="dxa"/>
            <w:hideMark/>
          </w:tcPr>
          <w:p w14:paraId="548189E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35,08%</w:t>
            </w:r>
          </w:p>
        </w:tc>
        <w:tc>
          <w:tcPr>
            <w:tcW w:w="1249" w:type="dxa"/>
            <w:hideMark/>
          </w:tcPr>
          <w:p w14:paraId="08937BA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34,50%</w:t>
            </w:r>
          </w:p>
        </w:tc>
        <w:tc>
          <w:tcPr>
            <w:tcW w:w="1249" w:type="dxa"/>
            <w:hideMark/>
          </w:tcPr>
          <w:p w14:paraId="1CFC1D6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41,78%</w:t>
            </w:r>
          </w:p>
        </w:tc>
        <w:tc>
          <w:tcPr>
            <w:tcW w:w="1178" w:type="dxa"/>
            <w:hideMark/>
          </w:tcPr>
          <w:p w14:paraId="0F018AF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37,33%</w:t>
            </w:r>
          </w:p>
        </w:tc>
        <w:tc>
          <w:tcPr>
            <w:tcW w:w="1093" w:type="dxa"/>
            <w:hideMark/>
          </w:tcPr>
          <w:p w14:paraId="493CA0D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36,08%</w:t>
            </w:r>
          </w:p>
        </w:tc>
        <w:tc>
          <w:tcPr>
            <w:tcW w:w="990" w:type="dxa"/>
            <w:hideMark/>
          </w:tcPr>
          <w:p w14:paraId="35F3F92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27,03%</w:t>
            </w:r>
          </w:p>
        </w:tc>
      </w:tr>
      <w:tr w:rsidR="008729F9" w:rsidRPr="008729F9" w14:paraId="5C683BF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092492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Casal</w:t>
            </w:r>
          </w:p>
        </w:tc>
        <w:tc>
          <w:tcPr>
            <w:tcW w:w="1005" w:type="dxa"/>
            <w:hideMark/>
          </w:tcPr>
          <w:p w14:paraId="270D507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60,67%</w:t>
            </w:r>
          </w:p>
        </w:tc>
        <w:tc>
          <w:tcPr>
            <w:tcW w:w="1249" w:type="dxa"/>
            <w:hideMark/>
          </w:tcPr>
          <w:p w14:paraId="44D56D6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58,46%</w:t>
            </w:r>
          </w:p>
        </w:tc>
        <w:tc>
          <w:tcPr>
            <w:tcW w:w="1249" w:type="dxa"/>
            <w:hideMark/>
          </w:tcPr>
          <w:p w14:paraId="4AD3DA4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46,21%</w:t>
            </w:r>
          </w:p>
        </w:tc>
        <w:tc>
          <w:tcPr>
            <w:tcW w:w="1178" w:type="dxa"/>
            <w:hideMark/>
          </w:tcPr>
          <w:p w14:paraId="3C69639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66,22%</w:t>
            </w:r>
          </w:p>
        </w:tc>
        <w:tc>
          <w:tcPr>
            <w:tcW w:w="1093" w:type="dxa"/>
            <w:hideMark/>
          </w:tcPr>
          <w:p w14:paraId="321E0EC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65,28%</w:t>
            </w:r>
          </w:p>
        </w:tc>
        <w:tc>
          <w:tcPr>
            <w:tcW w:w="990" w:type="dxa"/>
            <w:hideMark/>
          </w:tcPr>
          <w:p w14:paraId="462A360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67,87%</w:t>
            </w:r>
          </w:p>
        </w:tc>
      </w:tr>
      <w:tr w:rsidR="008729F9" w:rsidRPr="008729F9" w14:paraId="6FF8F2B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5D0F86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Casan</w:t>
            </w:r>
          </w:p>
        </w:tc>
        <w:tc>
          <w:tcPr>
            <w:tcW w:w="1005" w:type="dxa"/>
            <w:hideMark/>
          </w:tcPr>
          <w:p w14:paraId="5CD73FF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18,00%</w:t>
            </w:r>
          </w:p>
        </w:tc>
        <w:tc>
          <w:tcPr>
            <w:tcW w:w="1249" w:type="dxa"/>
            <w:hideMark/>
          </w:tcPr>
          <w:p w14:paraId="48BCF24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23,67%</w:t>
            </w:r>
          </w:p>
        </w:tc>
        <w:tc>
          <w:tcPr>
            <w:tcW w:w="1249" w:type="dxa"/>
            <w:hideMark/>
          </w:tcPr>
          <w:p w14:paraId="13A7F6B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25,65%</w:t>
            </w:r>
          </w:p>
        </w:tc>
        <w:tc>
          <w:tcPr>
            <w:tcW w:w="1178" w:type="dxa"/>
            <w:hideMark/>
          </w:tcPr>
          <w:p w14:paraId="2DB1CC8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25,80%</w:t>
            </w:r>
          </w:p>
        </w:tc>
        <w:tc>
          <w:tcPr>
            <w:tcW w:w="1093" w:type="dxa"/>
            <w:hideMark/>
          </w:tcPr>
          <w:p w14:paraId="18FF903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26,18%</w:t>
            </w:r>
          </w:p>
        </w:tc>
        <w:tc>
          <w:tcPr>
            <w:tcW w:w="990" w:type="dxa"/>
            <w:hideMark/>
          </w:tcPr>
          <w:p w14:paraId="1F4D350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24,69%</w:t>
            </w:r>
          </w:p>
        </w:tc>
      </w:tr>
      <w:tr w:rsidR="008729F9" w:rsidRPr="008729F9" w14:paraId="1247503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C850D49"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Cedae</w:t>
            </w:r>
          </w:p>
        </w:tc>
        <w:tc>
          <w:tcPr>
            <w:tcW w:w="1005" w:type="dxa"/>
            <w:hideMark/>
          </w:tcPr>
          <w:p w14:paraId="575B6E1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49,11%</w:t>
            </w:r>
          </w:p>
        </w:tc>
        <w:tc>
          <w:tcPr>
            <w:tcW w:w="1249" w:type="dxa"/>
            <w:hideMark/>
          </w:tcPr>
          <w:p w14:paraId="699AD6D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49,48%</w:t>
            </w:r>
          </w:p>
        </w:tc>
        <w:tc>
          <w:tcPr>
            <w:tcW w:w="1249" w:type="dxa"/>
            <w:hideMark/>
          </w:tcPr>
          <w:p w14:paraId="7430232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49,71%</w:t>
            </w:r>
          </w:p>
        </w:tc>
        <w:tc>
          <w:tcPr>
            <w:tcW w:w="1178" w:type="dxa"/>
            <w:hideMark/>
          </w:tcPr>
          <w:p w14:paraId="75C1B2C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51,17%</w:t>
            </w:r>
          </w:p>
        </w:tc>
        <w:tc>
          <w:tcPr>
            <w:tcW w:w="1093" w:type="dxa"/>
            <w:hideMark/>
          </w:tcPr>
          <w:p w14:paraId="22F5A40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51,28%</w:t>
            </w:r>
          </w:p>
        </w:tc>
        <w:tc>
          <w:tcPr>
            <w:tcW w:w="990" w:type="dxa"/>
            <w:hideMark/>
          </w:tcPr>
          <w:p w14:paraId="44A1E7D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52,44%</w:t>
            </w:r>
          </w:p>
        </w:tc>
      </w:tr>
      <w:tr w:rsidR="008729F9" w:rsidRPr="008729F9" w14:paraId="0C6DF4B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4DDEBAE"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Cesan</w:t>
            </w:r>
          </w:p>
        </w:tc>
        <w:tc>
          <w:tcPr>
            <w:tcW w:w="1005" w:type="dxa"/>
            <w:hideMark/>
          </w:tcPr>
          <w:p w14:paraId="60A762E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27,09%</w:t>
            </w:r>
          </w:p>
        </w:tc>
        <w:tc>
          <w:tcPr>
            <w:tcW w:w="1249" w:type="dxa"/>
            <w:hideMark/>
          </w:tcPr>
          <w:p w14:paraId="108A18F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25,14%</w:t>
            </w:r>
          </w:p>
        </w:tc>
        <w:tc>
          <w:tcPr>
            <w:tcW w:w="1249" w:type="dxa"/>
            <w:hideMark/>
          </w:tcPr>
          <w:p w14:paraId="1CEC04B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24,74%</w:t>
            </w:r>
          </w:p>
        </w:tc>
        <w:tc>
          <w:tcPr>
            <w:tcW w:w="1178" w:type="dxa"/>
            <w:hideMark/>
          </w:tcPr>
          <w:p w14:paraId="257E6DB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21,98%</w:t>
            </w:r>
          </w:p>
        </w:tc>
        <w:tc>
          <w:tcPr>
            <w:tcW w:w="1093" w:type="dxa"/>
            <w:hideMark/>
          </w:tcPr>
          <w:p w14:paraId="7E4337D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23,09%</w:t>
            </w:r>
          </w:p>
        </w:tc>
        <w:tc>
          <w:tcPr>
            <w:tcW w:w="990" w:type="dxa"/>
            <w:hideMark/>
          </w:tcPr>
          <w:p w14:paraId="73C29F8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21,67%</w:t>
            </w:r>
          </w:p>
        </w:tc>
      </w:tr>
      <w:tr w:rsidR="008729F9" w:rsidRPr="008729F9" w14:paraId="6F5A2B2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15152F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Compesa</w:t>
            </w:r>
          </w:p>
        </w:tc>
        <w:tc>
          <w:tcPr>
            <w:tcW w:w="1005" w:type="dxa"/>
            <w:hideMark/>
          </w:tcPr>
          <w:p w14:paraId="57E8A2B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57,03%</w:t>
            </w:r>
          </w:p>
        </w:tc>
        <w:tc>
          <w:tcPr>
            <w:tcW w:w="1249" w:type="dxa"/>
            <w:hideMark/>
          </w:tcPr>
          <w:p w14:paraId="12B6864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57,09%</w:t>
            </w:r>
          </w:p>
        </w:tc>
        <w:tc>
          <w:tcPr>
            <w:tcW w:w="1249" w:type="dxa"/>
            <w:hideMark/>
          </w:tcPr>
          <w:p w14:paraId="7F49C55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43,36%</w:t>
            </w:r>
          </w:p>
        </w:tc>
        <w:tc>
          <w:tcPr>
            <w:tcW w:w="1178" w:type="dxa"/>
            <w:hideMark/>
          </w:tcPr>
          <w:p w14:paraId="4C25080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40,51%</w:t>
            </w:r>
          </w:p>
        </w:tc>
        <w:tc>
          <w:tcPr>
            <w:tcW w:w="1093" w:type="dxa"/>
            <w:hideMark/>
          </w:tcPr>
          <w:p w14:paraId="43B2CC6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37,31%</w:t>
            </w:r>
          </w:p>
        </w:tc>
        <w:tc>
          <w:tcPr>
            <w:tcW w:w="990" w:type="dxa"/>
            <w:hideMark/>
          </w:tcPr>
          <w:p w14:paraId="3D57E0D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34,65%</w:t>
            </w:r>
          </w:p>
        </w:tc>
      </w:tr>
      <w:tr w:rsidR="008729F9" w:rsidRPr="008729F9" w14:paraId="5EC4FD7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136E2E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lastRenderedPageBreak/>
              <w:t>Copasa</w:t>
            </w:r>
          </w:p>
        </w:tc>
        <w:tc>
          <w:tcPr>
            <w:tcW w:w="1005" w:type="dxa"/>
            <w:hideMark/>
          </w:tcPr>
          <w:p w14:paraId="61AB2FC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29,20%</w:t>
            </w:r>
          </w:p>
        </w:tc>
        <w:tc>
          <w:tcPr>
            <w:tcW w:w="1249" w:type="dxa"/>
            <w:hideMark/>
          </w:tcPr>
          <w:p w14:paraId="7F53BA6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28,58%</w:t>
            </w:r>
          </w:p>
        </w:tc>
        <w:tc>
          <w:tcPr>
            <w:tcW w:w="1249" w:type="dxa"/>
            <w:hideMark/>
          </w:tcPr>
          <w:p w14:paraId="4A220F1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29,29%</w:t>
            </w:r>
          </w:p>
        </w:tc>
        <w:tc>
          <w:tcPr>
            <w:tcW w:w="1178" w:type="dxa"/>
            <w:hideMark/>
          </w:tcPr>
          <w:p w14:paraId="17A9453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29,34%</w:t>
            </w:r>
          </w:p>
        </w:tc>
        <w:tc>
          <w:tcPr>
            <w:tcW w:w="1093" w:type="dxa"/>
            <w:hideMark/>
          </w:tcPr>
          <w:p w14:paraId="53D1056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28,43%</w:t>
            </w:r>
          </w:p>
        </w:tc>
        <w:tc>
          <w:tcPr>
            <w:tcW w:w="990" w:type="dxa"/>
            <w:hideMark/>
          </w:tcPr>
          <w:p w14:paraId="14C82F2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28,99%</w:t>
            </w:r>
          </w:p>
        </w:tc>
      </w:tr>
      <w:tr w:rsidR="008729F9" w:rsidRPr="008729F9" w14:paraId="224354F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63CE7C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Corsan</w:t>
            </w:r>
          </w:p>
        </w:tc>
        <w:tc>
          <w:tcPr>
            <w:tcW w:w="1005" w:type="dxa"/>
            <w:hideMark/>
          </w:tcPr>
          <w:p w14:paraId="2995329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22,59%</w:t>
            </w:r>
          </w:p>
        </w:tc>
        <w:tc>
          <w:tcPr>
            <w:tcW w:w="1249" w:type="dxa"/>
            <w:hideMark/>
          </w:tcPr>
          <w:p w14:paraId="5BC358A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46,47%</w:t>
            </w:r>
          </w:p>
        </w:tc>
        <w:tc>
          <w:tcPr>
            <w:tcW w:w="1249" w:type="dxa"/>
            <w:hideMark/>
          </w:tcPr>
          <w:p w14:paraId="702D9BB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44,87%</w:t>
            </w:r>
          </w:p>
        </w:tc>
        <w:tc>
          <w:tcPr>
            <w:tcW w:w="1178" w:type="dxa"/>
            <w:hideMark/>
          </w:tcPr>
          <w:p w14:paraId="20BAD40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52,49%</w:t>
            </w:r>
          </w:p>
        </w:tc>
        <w:tc>
          <w:tcPr>
            <w:tcW w:w="1093" w:type="dxa"/>
            <w:hideMark/>
          </w:tcPr>
          <w:p w14:paraId="3A640A3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50,89%</w:t>
            </w:r>
          </w:p>
        </w:tc>
        <w:tc>
          <w:tcPr>
            <w:tcW w:w="990" w:type="dxa"/>
            <w:hideMark/>
          </w:tcPr>
          <w:p w14:paraId="2AE8063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38,62%</w:t>
            </w:r>
          </w:p>
        </w:tc>
      </w:tr>
      <w:tr w:rsidR="008729F9" w:rsidRPr="008729F9" w14:paraId="2A9230A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C1F00D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Cosanpa</w:t>
            </w:r>
          </w:p>
        </w:tc>
        <w:tc>
          <w:tcPr>
            <w:tcW w:w="1005" w:type="dxa"/>
            <w:hideMark/>
          </w:tcPr>
          <w:p w14:paraId="1C6FF6A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41,85%</w:t>
            </w:r>
          </w:p>
        </w:tc>
        <w:tc>
          <w:tcPr>
            <w:tcW w:w="1249" w:type="dxa"/>
            <w:hideMark/>
          </w:tcPr>
          <w:p w14:paraId="0E56F1A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40,67%</w:t>
            </w:r>
          </w:p>
        </w:tc>
        <w:tc>
          <w:tcPr>
            <w:tcW w:w="1249" w:type="dxa"/>
            <w:hideMark/>
          </w:tcPr>
          <w:p w14:paraId="3881BDA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42,40%</w:t>
            </w:r>
          </w:p>
        </w:tc>
        <w:tc>
          <w:tcPr>
            <w:tcW w:w="1178" w:type="dxa"/>
            <w:hideMark/>
          </w:tcPr>
          <w:p w14:paraId="64569B8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42,15%</w:t>
            </w:r>
          </w:p>
        </w:tc>
        <w:tc>
          <w:tcPr>
            <w:tcW w:w="1093" w:type="dxa"/>
            <w:hideMark/>
          </w:tcPr>
          <w:p w14:paraId="699918F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41,45%</w:t>
            </w:r>
          </w:p>
        </w:tc>
        <w:tc>
          <w:tcPr>
            <w:tcW w:w="990" w:type="dxa"/>
            <w:hideMark/>
          </w:tcPr>
          <w:p w14:paraId="315F281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42,32%</w:t>
            </w:r>
          </w:p>
        </w:tc>
      </w:tr>
      <w:tr w:rsidR="008729F9" w:rsidRPr="008729F9" w14:paraId="01F91A6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561743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Depasa</w:t>
            </w:r>
          </w:p>
        </w:tc>
        <w:tc>
          <w:tcPr>
            <w:tcW w:w="1005" w:type="dxa"/>
            <w:hideMark/>
          </w:tcPr>
          <w:p w14:paraId="46B57F3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62,01%</w:t>
            </w:r>
          </w:p>
        </w:tc>
        <w:tc>
          <w:tcPr>
            <w:tcW w:w="1249" w:type="dxa"/>
            <w:hideMark/>
          </w:tcPr>
          <w:p w14:paraId="3BDE0AC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58,79%</w:t>
            </w:r>
          </w:p>
        </w:tc>
        <w:tc>
          <w:tcPr>
            <w:tcW w:w="1249" w:type="dxa"/>
            <w:hideMark/>
          </w:tcPr>
          <w:p w14:paraId="5050CED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76,73%</w:t>
            </w:r>
          </w:p>
        </w:tc>
        <w:tc>
          <w:tcPr>
            <w:tcW w:w="1178" w:type="dxa"/>
            <w:hideMark/>
          </w:tcPr>
          <w:p w14:paraId="471CA1D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55,95%</w:t>
            </w:r>
          </w:p>
        </w:tc>
        <w:tc>
          <w:tcPr>
            <w:tcW w:w="1093" w:type="dxa"/>
            <w:hideMark/>
          </w:tcPr>
          <w:p w14:paraId="30799FB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54,98%</w:t>
            </w:r>
          </w:p>
        </w:tc>
        <w:tc>
          <w:tcPr>
            <w:tcW w:w="990" w:type="dxa"/>
            <w:hideMark/>
          </w:tcPr>
          <w:p w14:paraId="44F18E9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56,67%</w:t>
            </w:r>
          </w:p>
        </w:tc>
      </w:tr>
      <w:tr w:rsidR="008729F9" w:rsidRPr="008729F9" w14:paraId="16A5311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C7643B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Deso</w:t>
            </w:r>
          </w:p>
        </w:tc>
        <w:tc>
          <w:tcPr>
            <w:tcW w:w="1005" w:type="dxa"/>
            <w:hideMark/>
          </w:tcPr>
          <w:p w14:paraId="7011D2E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52,07%</w:t>
            </w:r>
          </w:p>
        </w:tc>
        <w:tc>
          <w:tcPr>
            <w:tcW w:w="1249" w:type="dxa"/>
            <w:hideMark/>
          </w:tcPr>
          <w:p w14:paraId="76D5A51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53,69%</w:t>
            </w:r>
          </w:p>
        </w:tc>
        <w:tc>
          <w:tcPr>
            <w:tcW w:w="1249" w:type="dxa"/>
            <w:hideMark/>
          </w:tcPr>
          <w:p w14:paraId="7D2B38D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52,46%</w:t>
            </w:r>
          </w:p>
        </w:tc>
        <w:tc>
          <w:tcPr>
            <w:tcW w:w="1178" w:type="dxa"/>
            <w:hideMark/>
          </w:tcPr>
          <w:p w14:paraId="7E30C06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51,67%</w:t>
            </w:r>
          </w:p>
        </w:tc>
        <w:tc>
          <w:tcPr>
            <w:tcW w:w="1093" w:type="dxa"/>
            <w:hideMark/>
          </w:tcPr>
          <w:p w14:paraId="2F52656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52,90%</w:t>
            </w:r>
          </w:p>
        </w:tc>
        <w:tc>
          <w:tcPr>
            <w:tcW w:w="990" w:type="dxa"/>
            <w:hideMark/>
          </w:tcPr>
          <w:p w14:paraId="07099BA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43,06%</w:t>
            </w:r>
          </w:p>
        </w:tc>
      </w:tr>
      <w:tr w:rsidR="008729F9" w:rsidRPr="008729F9" w14:paraId="3C1A98F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A58BD2E"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Embasa</w:t>
            </w:r>
          </w:p>
        </w:tc>
        <w:tc>
          <w:tcPr>
            <w:tcW w:w="1005" w:type="dxa"/>
            <w:hideMark/>
          </w:tcPr>
          <w:p w14:paraId="195E83A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28,57%</w:t>
            </w:r>
          </w:p>
        </w:tc>
        <w:tc>
          <w:tcPr>
            <w:tcW w:w="1249" w:type="dxa"/>
            <w:hideMark/>
          </w:tcPr>
          <w:p w14:paraId="59ED4D6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26,48%</w:t>
            </w:r>
          </w:p>
        </w:tc>
        <w:tc>
          <w:tcPr>
            <w:tcW w:w="1249" w:type="dxa"/>
            <w:hideMark/>
          </w:tcPr>
          <w:p w14:paraId="7FBF109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26,30%</w:t>
            </w:r>
          </w:p>
        </w:tc>
        <w:tc>
          <w:tcPr>
            <w:tcW w:w="1178" w:type="dxa"/>
            <w:hideMark/>
          </w:tcPr>
          <w:p w14:paraId="5FEBE56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33,00%</w:t>
            </w:r>
          </w:p>
        </w:tc>
        <w:tc>
          <w:tcPr>
            <w:tcW w:w="1093" w:type="dxa"/>
            <w:hideMark/>
          </w:tcPr>
          <w:p w14:paraId="77CC0F4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29,75%</w:t>
            </w:r>
          </w:p>
        </w:tc>
        <w:tc>
          <w:tcPr>
            <w:tcW w:w="990" w:type="dxa"/>
            <w:hideMark/>
          </w:tcPr>
          <w:p w14:paraId="6A72405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34,95%</w:t>
            </w:r>
          </w:p>
        </w:tc>
      </w:tr>
      <w:tr w:rsidR="008729F9" w:rsidRPr="008729F9" w14:paraId="6657B4E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36B8D1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Sabesp</w:t>
            </w:r>
          </w:p>
        </w:tc>
        <w:tc>
          <w:tcPr>
            <w:tcW w:w="1005" w:type="dxa"/>
            <w:hideMark/>
          </w:tcPr>
          <w:p w14:paraId="3010257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27,79%</w:t>
            </w:r>
          </w:p>
        </w:tc>
        <w:tc>
          <w:tcPr>
            <w:tcW w:w="1249" w:type="dxa"/>
            <w:hideMark/>
          </w:tcPr>
          <w:p w14:paraId="7679061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27,23%</w:t>
            </w:r>
          </w:p>
        </w:tc>
        <w:tc>
          <w:tcPr>
            <w:tcW w:w="1249" w:type="dxa"/>
            <w:hideMark/>
          </w:tcPr>
          <w:p w14:paraId="1BEC6AD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26,71%</w:t>
            </w:r>
          </w:p>
        </w:tc>
        <w:tc>
          <w:tcPr>
            <w:tcW w:w="1178" w:type="dxa"/>
            <w:hideMark/>
          </w:tcPr>
          <w:p w14:paraId="57CC828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25,67%</w:t>
            </w:r>
          </w:p>
        </w:tc>
        <w:tc>
          <w:tcPr>
            <w:tcW w:w="1093" w:type="dxa"/>
            <w:hideMark/>
          </w:tcPr>
          <w:p w14:paraId="5BB7E0D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22,40%</w:t>
            </w:r>
          </w:p>
        </w:tc>
        <w:tc>
          <w:tcPr>
            <w:tcW w:w="990" w:type="dxa"/>
            <w:hideMark/>
          </w:tcPr>
          <w:p w14:paraId="383863C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17,49%</w:t>
            </w:r>
          </w:p>
        </w:tc>
      </w:tr>
      <w:tr w:rsidR="008729F9" w:rsidRPr="008729F9" w14:paraId="60A66D8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DC51C2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Saneago</w:t>
            </w:r>
          </w:p>
        </w:tc>
        <w:tc>
          <w:tcPr>
            <w:tcW w:w="1005" w:type="dxa"/>
            <w:hideMark/>
          </w:tcPr>
          <w:p w14:paraId="1DD5CA2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35,90%</w:t>
            </w:r>
          </w:p>
        </w:tc>
        <w:tc>
          <w:tcPr>
            <w:tcW w:w="1249" w:type="dxa"/>
            <w:hideMark/>
          </w:tcPr>
          <w:p w14:paraId="2DB906A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35,83%</w:t>
            </w:r>
          </w:p>
        </w:tc>
        <w:tc>
          <w:tcPr>
            <w:tcW w:w="1249" w:type="dxa"/>
            <w:hideMark/>
          </w:tcPr>
          <w:p w14:paraId="2E41B96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33,84%</w:t>
            </w:r>
          </w:p>
        </w:tc>
        <w:tc>
          <w:tcPr>
            <w:tcW w:w="1178" w:type="dxa"/>
            <w:hideMark/>
          </w:tcPr>
          <w:p w14:paraId="2A731BE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33,07%</w:t>
            </w:r>
          </w:p>
        </w:tc>
        <w:tc>
          <w:tcPr>
            <w:tcW w:w="1093" w:type="dxa"/>
            <w:hideMark/>
          </w:tcPr>
          <w:p w14:paraId="1D026B8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33,11%</w:t>
            </w:r>
          </w:p>
        </w:tc>
        <w:tc>
          <w:tcPr>
            <w:tcW w:w="990" w:type="dxa"/>
            <w:hideMark/>
          </w:tcPr>
          <w:p w14:paraId="00E4B2A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34,28%</w:t>
            </w:r>
          </w:p>
        </w:tc>
      </w:tr>
      <w:tr w:rsidR="008729F9" w:rsidRPr="008729F9" w14:paraId="243546F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BC400F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val="es-CO" w:eastAsia="es-CO"/>
              </w:rPr>
              <w:t>Saneatins</w:t>
            </w:r>
          </w:p>
        </w:tc>
        <w:tc>
          <w:tcPr>
            <w:tcW w:w="1005" w:type="dxa"/>
            <w:hideMark/>
          </w:tcPr>
          <w:p w14:paraId="59653EB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22,77%</w:t>
            </w:r>
          </w:p>
        </w:tc>
        <w:tc>
          <w:tcPr>
            <w:tcW w:w="1249" w:type="dxa"/>
            <w:hideMark/>
          </w:tcPr>
          <w:p w14:paraId="1C240DF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23,75%</w:t>
            </w:r>
          </w:p>
        </w:tc>
        <w:tc>
          <w:tcPr>
            <w:tcW w:w="1249" w:type="dxa"/>
            <w:hideMark/>
          </w:tcPr>
          <w:p w14:paraId="2E38462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24,12%</w:t>
            </w:r>
          </w:p>
        </w:tc>
        <w:tc>
          <w:tcPr>
            <w:tcW w:w="1178" w:type="dxa"/>
            <w:hideMark/>
          </w:tcPr>
          <w:p w14:paraId="3FE8DB7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23,93%</w:t>
            </w:r>
          </w:p>
        </w:tc>
        <w:tc>
          <w:tcPr>
            <w:tcW w:w="1093" w:type="dxa"/>
            <w:hideMark/>
          </w:tcPr>
          <w:p w14:paraId="6338BAD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20,34%</w:t>
            </w:r>
          </w:p>
        </w:tc>
        <w:tc>
          <w:tcPr>
            <w:tcW w:w="990" w:type="dxa"/>
            <w:hideMark/>
          </w:tcPr>
          <w:p w14:paraId="126412E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27,00%</w:t>
            </w:r>
          </w:p>
        </w:tc>
      </w:tr>
      <w:tr w:rsidR="008729F9" w:rsidRPr="008729F9" w14:paraId="1F45B98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AF0238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Sanepar</w:t>
            </w:r>
          </w:p>
        </w:tc>
        <w:tc>
          <w:tcPr>
            <w:tcW w:w="1005" w:type="dxa"/>
            <w:hideMark/>
          </w:tcPr>
          <w:p w14:paraId="5990F6C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20,47%</w:t>
            </w:r>
          </w:p>
        </w:tc>
        <w:tc>
          <w:tcPr>
            <w:tcW w:w="1249" w:type="dxa"/>
            <w:hideMark/>
          </w:tcPr>
          <w:p w14:paraId="2957CAE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21,06%</w:t>
            </w:r>
          </w:p>
        </w:tc>
        <w:tc>
          <w:tcPr>
            <w:tcW w:w="1249" w:type="dxa"/>
            <w:hideMark/>
          </w:tcPr>
          <w:p w14:paraId="280F792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21,29%</w:t>
            </w:r>
          </w:p>
        </w:tc>
        <w:tc>
          <w:tcPr>
            <w:tcW w:w="1178" w:type="dxa"/>
            <w:hideMark/>
          </w:tcPr>
          <w:p w14:paraId="74A87FD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20,83%</w:t>
            </w:r>
          </w:p>
        </w:tc>
        <w:tc>
          <w:tcPr>
            <w:tcW w:w="1093" w:type="dxa"/>
            <w:hideMark/>
          </w:tcPr>
          <w:p w14:paraId="7F3D932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19,80%</w:t>
            </w:r>
          </w:p>
        </w:tc>
        <w:tc>
          <w:tcPr>
            <w:tcW w:w="990" w:type="dxa"/>
            <w:hideMark/>
          </w:tcPr>
          <w:p w14:paraId="7842370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19,47%</w:t>
            </w:r>
          </w:p>
        </w:tc>
      </w:tr>
      <w:tr w:rsidR="008729F9" w:rsidRPr="008729F9" w14:paraId="723C538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0EB032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Sanesul</w:t>
            </w:r>
          </w:p>
        </w:tc>
        <w:tc>
          <w:tcPr>
            <w:tcW w:w="1005" w:type="dxa"/>
            <w:hideMark/>
          </w:tcPr>
          <w:p w14:paraId="62E4AED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28,15%</w:t>
            </w:r>
          </w:p>
        </w:tc>
        <w:tc>
          <w:tcPr>
            <w:tcW w:w="1249" w:type="dxa"/>
            <w:hideMark/>
          </w:tcPr>
          <w:p w14:paraId="7A14F08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28,85%</w:t>
            </w:r>
          </w:p>
        </w:tc>
        <w:tc>
          <w:tcPr>
            <w:tcW w:w="1249" w:type="dxa"/>
            <w:hideMark/>
          </w:tcPr>
          <w:p w14:paraId="105C7D9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28,77%</w:t>
            </w:r>
          </w:p>
        </w:tc>
        <w:tc>
          <w:tcPr>
            <w:tcW w:w="1178" w:type="dxa"/>
            <w:hideMark/>
          </w:tcPr>
          <w:p w14:paraId="474B61E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27,82%</w:t>
            </w:r>
          </w:p>
        </w:tc>
        <w:tc>
          <w:tcPr>
            <w:tcW w:w="1093" w:type="dxa"/>
            <w:hideMark/>
          </w:tcPr>
          <w:p w14:paraId="31F69B8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27,56%</w:t>
            </w:r>
          </w:p>
        </w:tc>
        <w:tc>
          <w:tcPr>
            <w:tcW w:w="990" w:type="dxa"/>
            <w:hideMark/>
          </w:tcPr>
          <w:p w14:paraId="5CBA4D8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26,65%</w:t>
            </w:r>
          </w:p>
        </w:tc>
      </w:tr>
    </w:tbl>
    <w:p w14:paraId="66261BE8" w14:textId="2F65AA05" w:rsidR="00716C83" w:rsidRPr="00042F25" w:rsidRDefault="00716C83" w:rsidP="00716C83">
      <w:pPr>
        <w:pStyle w:val="Descripcin"/>
        <w:spacing w:before="0" w:beforeAutospacing="0"/>
        <w:jc w:val="left"/>
        <w:rPr>
          <w:sz w:val="20"/>
        </w:rPr>
      </w:pPr>
      <w:r w:rsidRPr="00042F25">
        <w:rPr>
          <w:sz w:val="20"/>
        </w:rPr>
        <w:t>Fonte: SNIS 2015. Elaborado por: GO Associados</w:t>
      </w:r>
    </w:p>
    <w:p w14:paraId="691F365B" w14:textId="10D914C6" w:rsidR="00A30FCF" w:rsidRDefault="00A30FCF" w:rsidP="00A30FCF">
      <w:pPr>
        <w:pStyle w:val="Descripcin"/>
      </w:pPr>
      <w:bookmarkStart w:id="39" w:name="_Toc493222484"/>
      <w:r w:rsidRPr="00042F25">
        <w:t xml:space="preserve">Quadro </w:t>
      </w:r>
      <w:fldSimple w:instr=" SEQ Quadro \* ARABIC ">
        <w:r w:rsidR="00B64D1C" w:rsidRPr="00042F25">
          <w:rPr>
            <w:noProof/>
          </w:rPr>
          <w:t>21</w:t>
        </w:r>
      </w:fldSimple>
      <w:r w:rsidR="001512A0" w:rsidRPr="00042F25">
        <w:t xml:space="preserve"> – Índice de P</w:t>
      </w:r>
      <w:r w:rsidRPr="00042F25">
        <w:t xml:space="preserve">erdas na </w:t>
      </w:r>
      <w:r w:rsidR="001512A0" w:rsidRPr="00042F25">
        <w:t>D</w:t>
      </w:r>
      <w:r w:rsidRPr="00042F25">
        <w:t>istribuição (IN049)</w:t>
      </w:r>
      <w:bookmarkEnd w:id="39"/>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8729F9" w:rsidRPr="008729F9" w14:paraId="619A8B18" w14:textId="77777777" w:rsidTr="00EA348F">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9E7BF28" w14:textId="77777777" w:rsidR="008729F9" w:rsidRPr="008729F9" w:rsidRDefault="008729F9" w:rsidP="008729F9">
            <w:pPr>
              <w:spacing w:before="0" w:beforeAutospacing="0" w:after="0" w:afterAutospacing="0" w:line="240" w:lineRule="auto"/>
              <w:ind w:firstLine="0"/>
              <w:jc w:val="left"/>
              <w:rPr>
                <w:b w:val="0"/>
                <w:bCs w:val="0"/>
                <w:color w:val="FFFFFF"/>
                <w:sz w:val="22"/>
                <w:lang w:val="es-CO" w:eastAsia="es-CO"/>
              </w:rPr>
            </w:pPr>
            <w:r w:rsidRPr="008729F9">
              <w:rPr>
                <w:b w:val="0"/>
                <w:bCs w:val="0"/>
                <w:color w:val="FFFFFF"/>
                <w:sz w:val="22"/>
                <w:lang w:eastAsia="es-CO"/>
              </w:rPr>
              <w:t>Empresa</w:t>
            </w:r>
          </w:p>
        </w:tc>
        <w:tc>
          <w:tcPr>
            <w:tcW w:w="1248" w:type="dxa"/>
            <w:hideMark/>
          </w:tcPr>
          <w:p w14:paraId="2A9D55BF"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2010</w:t>
            </w:r>
          </w:p>
        </w:tc>
        <w:tc>
          <w:tcPr>
            <w:tcW w:w="1249" w:type="dxa"/>
            <w:hideMark/>
          </w:tcPr>
          <w:p w14:paraId="70EF4FA8"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2011</w:t>
            </w:r>
          </w:p>
        </w:tc>
        <w:tc>
          <w:tcPr>
            <w:tcW w:w="1249" w:type="dxa"/>
            <w:hideMark/>
          </w:tcPr>
          <w:p w14:paraId="27CFE6FB"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2012</w:t>
            </w:r>
          </w:p>
        </w:tc>
        <w:tc>
          <w:tcPr>
            <w:tcW w:w="1178" w:type="dxa"/>
            <w:hideMark/>
          </w:tcPr>
          <w:p w14:paraId="6DDCE3E7"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2013</w:t>
            </w:r>
          </w:p>
        </w:tc>
        <w:tc>
          <w:tcPr>
            <w:tcW w:w="1093" w:type="dxa"/>
            <w:hideMark/>
          </w:tcPr>
          <w:p w14:paraId="4E200203"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2014</w:t>
            </w:r>
          </w:p>
        </w:tc>
        <w:tc>
          <w:tcPr>
            <w:tcW w:w="990" w:type="dxa"/>
            <w:hideMark/>
          </w:tcPr>
          <w:p w14:paraId="3CFA18EA"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2015</w:t>
            </w:r>
          </w:p>
        </w:tc>
      </w:tr>
      <w:tr w:rsidR="008729F9" w:rsidRPr="008729F9" w14:paraId="55CB241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0D6F98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Agespisa</w:t>
            </w:r>
          </w:p>
        </w:tc>
        <w:tc>
          <w:tcPr>
            <w:tcW w:w="1248" w:type="dxa"/>
            <w:hideMark/>
          </w:tcPr>
          <w:p w14:paraId="522E7EE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53,62%</w:t>
            </w:r>
          </w:p>
        </w:tc>
        <w:tc>
          <w:tcPr>
            <w:tcW w:w="1249" w:type="dxa"/>
            <w:hideMark/>
          </w:tcPr>
          <w:p w14:paraId="5CC7A19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59,95%</w:t>
            </w:r>
          </w:p>
        </w:tc>
        <w:tc>
          <w:tcPr>
            <w:tcW w:w="1249" w:type="dxa"/>
            <w:hideMark/>
          </w:tcPr>
          <w:p w14:paraId="718DEC5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54,34%</w:t>
            </w:r>
          </w:p>
        </w:tc>
        <w:tc>
          <w:tcPr>
            <w:tcW w:w="1178" w:type="dxa"/>
            <w:hideMark/>
          </w:tcPr>
          <w:p w14:paraId="6CB106C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51,89%</w:t>
            </w:r>
          </w:p>
        </w:tc>
        <w:tc>
          <w:tcPr>
            <w:tcW w:w="1093" w:type="dxa"/>
            <w:hideMark/>
          </w:tcPr>
          <w:p w14:paraId="5E5D97E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51,72%</w:t>
            </w:r>
          </w:p>
        </w:tc>
        <w:tc>
          <w:tcPr>
            <w:tcW w:w="990" w:type="dxa"/>
            <w:hideMark/>
          </w:tcPr>
          <w:p w14:paraId="47990E6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45,53%</w:t>
            </w:r>
          </w:p>
        </w:tc>
      </w:tr>
      <w:tr w:rsidR="008729F9" w:rsidRPr="008729F9" w14:paraId="3FEC7BD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D3484E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Caema</w:t>
            </w:r>
          </w:p>
        </w:tc>
        <w:tc>
          <w:tcPr>
            <w:tcW w:w="1248" w:type="dxa"/>
            <w:hideMark/>
          </w:tcPr>
          <w:p w14:paraId="12DBB07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67,88%</w:t>
            </w:r>
          </w:p>
        </w:tc>
        <w:tc>
          <w:tcPr>
            <w:tcW w:w="1249" w:type="dxa"/>
            <w:hideMark/>
          </w:tcPr>
          <w:p w14:paraId="110DAC8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59,04%</w:t>
            </w:r>
          </w:p>
        </w:tc>
        <w:tc>
          <w:tcPr>
            <w:tcW w:w="1249" w:type="dxa"/>
            <w:hideMark/>
          </w:tcPr>
          <w:p w14:paraId="54A1AFE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41,68%</w:t>
            </w:r>
          </w:p>
        </w:tc>
        <w:tc>
          <w:tcPr>
            <w:tcW w:w="1178" w:type="dxa"/>
            <w:hideMark/>
          </w:tcPr>
          <w:p w14:paraId="59E7305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36,59%</w:t>
            </w:r>
          </w:p>
        </w:tc>
        <w:tc>
          <w:tcPr>
            <w:tcW w:w="1093" w:type="dxa"/>
            <w:hideMark/>
          </w:tcPr>
          <w:p w14:paraId="1535CB7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62,20%</w:t>
            </w:r>
          </w:p>
        </w:tc>
        <w:tc>
          <w:tcPr>
            <w:tcW w:w="990" w:type="dxa"/>
            <w:hideMark/>
          </w:tcPr>
          <w:p w14:paraId="4BCAD8D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64,55%</w:t>
            </w:r>
          </w:p>
        </w:tc>
      </w:tr>
      <w:tr w:rsidR="008729F9" w:rsidRPr="008729F9" w14:paraId="2C0B1A5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E574CCE"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w:t>
            </w:r>
          </w:p>
        </w:tc>
        <w:tc>
          <w:tcPr>
            <w:tcW w:w="1248" w:type="dxa"/>
            <w:hideMark/>
          </w:tcPr>
          <w:p w14:paraId="262A5E0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56,21%</w:t>
            </w:r>
          </w:p>
        </w:tc>
        <w:tc>
          <w:tcPr>
            <w:tcW w:w="1249" w:type="dxa"/>
            <w:hideMark/>
          </w:tcPr>
          <w:p w14:paraId="4266925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58,07%</w:t>
            </w:r>
          </w:p>
        </w:tc>
        <w:tc>
          <w:tcPr>
            <w:tcW w:w="1249" w:type="dxa"/>
            <w:hideMark/>
          </w:tcPr>
          <w:p w14:paraId="7409760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57,02%</w:t>
            </w:r>
          </w:p>
        </w:tc>
        <w:tc>
          <w:tcPr>
            <w:tcW w:w="1178" w:type="dxa"/>
            <w:hideMark/>
          </w:tcPr>
          <w:p w14:paraId="2A02345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59,74%</w:t>
            </w:r>
          </w:p>
        </w:tc>
        <w:tc>
          <w:tcPr>
            <w:tcW w:w="1093" w:type="dxa"/>
            <w:hideMark/>
          </w:tcPr>
          <w:p w14:paraId="319E342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59,36%</w:t>
            </w:r>
          </w:p>
        </w:tc>
        <w:tc>
          <w:tcPr>
            <w:tcW w:w="990" w:type="dxa"/>
            <w:hideMark/>
          </w:tcPr>
          <w:p w14:paraId="1D42F05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59,08%</w:t>
            </w:r>
          </w:p>
        </w:tc>
      </w:tr>
      <w:tr w:rsidR="008729F9" w:rsidRPr="008729F9" w14:paraId="4B71A46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0FE423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Caerd</w:t>
            </w:r>
          </w:p>
        </w:tc>
        <w:tc>
          <w:tcPr>
            <w:tcW w:w="1248" w:type="dxa"/>
            <w:hideMark/>
          </w:tcPr>
          <w:p w14:paraId="753E095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63,84%</w:t>
            </w:r>
          </w:p>
        </w:tc>
        <w:tc>
          <w:tcPr>
            <w:tcW w:w="1249" w:type="dxa"/>
            <w:hideMark/>
          </w:tcPr>
          <w:p w14:paraId="67F87F7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61,46%</w:t>
            </w:r>
          </w:p>
        </w:tc>
        <w:tc>
          <w:tcPr>
            <w:tcW w:w="1249" w:type="dxa"/>
            <w:hideMark/>
          </w:tcPr>
          <w:p w14:paraId="433F72B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59,63%</w:t>
            </w:r>
          </w:p>
        </w:tc>
        <w:tc>
          <w:tcPr>
            <w:tcW w:w="1178" w:type="dxa"/>
            <w:hideMark/>
          </w:tcPr>
          <w:p w14:paraId="7420B8E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59,44%</w:t>
            </w:r>
          </w:p>
        </w:tc>
        <w:tc>
          <w:tcPr>
            <w:tcW w:w="1093" w:type="dxa"/>
            <w:hideMark/>
          </w:tcPr>
          <w:p w14:paraId="26639C9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58,13%</w:t>
            </w:r>
          </w:p>
        </w:tc>
        <w:tc>
          <w:tcPr>
            <w:tcW w:w="990" w:type="dxa"/>
            <w:hideMark/>
          </w:tcPr>
          <w:p w14:paraId="567B18C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54,42%</w:t>
            </w:r>
          </w:p>
        </w:tc>
      </w:tr>
      <w:tr w:rsidR="008729F9" w:rsidRPr="008729F9" w14:paraId="4AAD592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1BC68F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Caern</w:t>
            </w:r>
          </w:p>
        </w:tc>
        <w:tc>
          <w:tcPr>
            <w:tcW w:w="1248" w:type="dxa"/>
            <w:hideMark/>
          </w:tcPr>
          <w:p w14:paraId="1413C75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60,48%</w:t>
            </w:r>
          </w:p>
        </w:tc>
        <w:tc>
          <w:tcPr>
            <w:tcW w:w="1249" w:type="dxa"/>
            <w:hideMark/>
          </w:tcPr>
          <w:p w14:paraId="55D4096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60,36%</w:t>
            </w:r>
          </w:p>
        </w:tc>
        <w:tc>
          <w:tcPr>
            <w:tcW w:w="1249" w:type="dxa"/>
            <w:hideMark/>
          </w:tcPr>
          <w:p w14:paraId="4278E33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58,60%</w:t>
            </w:r>
          </w:p>
        </w:tc>
        <w:tc>
          <w:tcPr>
            <w:tcW w:w="1178" w:type="dxa"/>
            <w:hideMark/>
          </w:tcPr>
          <w:p w14:paraId="32B0D2E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57,37%</w:t>
            </w:r>
          </w:p>
        </w:tc>
        <w:tc>
          <w:tcPr>
            <w:tcW w:w="1093" w:type="dxa"/>
            <w:hideMark/>
          </w:tcPr>
          <w:p w14:paraId="4497A44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55,82%</w:t>
            </w:r>
          </w:p>
        </w:tc>
        <w:tc>
          <w:tcPr>
            <w:tcW w:w="990" w:type="dxa"/>
            <w:hideMark/>
          </w:tcPr>
          <w:p w14:paraId="088753F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53,06%</w:t>
            </w:r>
          </w:p>
        </w:tc>
      </w:tr>
      <w:tr w:rsidR="008729F9" w:rsidRPr="008729F9" w14:paraId="163C35B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74274B3"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Caesa</w:t>
            </w:r>
          </w:p>
        </w:tc>
        <w:tc>
          <w:tcPr>
            <w:tcW w:w="1248" w:type="dxa"/>
            <w:hideMark/>
          </w:tcPr>
          <w:p w14:paraId="4B83EC1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77,34%</w:t>
            </w:r>
          </w:p>
        </w:tc>
        <w:tc>
          <w:tcPr>
            <w:tcW w:w="1249" w:type="dxa"/>
            <w:hideMark/>
          </w:tcPr>
          <w:p w14:paraId="1F04178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73,27%</w:t>
            </w:r>
          </w:p>
        </w:tc>
        <w:tc>
          <w:tcPr>
            <w:tcW w:w="1249" w:type="dxa"/>
            <w:hideMark/>
          </w:tcPr>
          <w:p w14:paraId="7B07573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71,87%</w:t>
            </w:r>
          </w:p>
        </w:tc>
        <w:tc>
          <w:tcPr>
            <w:tcW w:w="1178" w:type="dxa"/>
            <w:hideMark/>
          </w:tcPr>
          <w:p w14:paraId="63AA4D5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76,54%</w:t>
            </w:r>
          </w:p>
        </w:tc>
        <w:tc>
          <w:tcPr>
            <w:tcW w:w="1093" w:type="dxa"/>
            <w:hideMark/>
          </w:tcPr>
          <w:p w14:paraId="1765295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78,20%</w:t>
            </w:r>
          </w:p>
        </w:tc>
        <w:tc>
          <w:tcPr>
            <w:tcW w:w="990" w:type="dxa"/>
            <w:hideMark/>
          </w:tcPr>
          <w:p w14:paraId="1EF0C82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74,82%</w:t>
            </w:r>
          </w:p>
        </w:tc>
      </w:tr>
      <w:tr w:rsidR="008729F9" w:rsidRPr="008729F9" w14:paraId="0DFCD6C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EE4D53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Caesb</w:t>
            </w:r>
          </w:p>
        </w:tc>
        <w:tc>
          <w:tcPr>
            <w:tcW w:w="1248" w:type="dxa"/>
            <w:hideMark/>
          </w:tcPr>
          <w:p w14:paraId="4BD479D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24,93%</w:t>
            </w:r>
          </w:p>
        </w:tc>
        <w:tc>
          <w:tcPr>
            <w:tcW w:w="1249" w:type="dxa"/>
            <w:hideMark/>
          </w:tcPr>
          <w:p w14:paraId="3154202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24,80%</w:t>
            </w:r>
          </w:p>
        </w:tc>
        <w:tc>
          <w:tcPr>
            <w:tcW w:w="1249" w:type="dxa"/>
            <w:hideMark/>
          </w:tcPr>
          <w:p w14:paraId="03623E3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23,92%</w:t>
            </w:r>
          </w:p>
        </w:tc>
        <w:tc>
          <w:tcPr>
            <w:tcW w:w="1178" w:type="dxa"/>
            <w:hideMark/>
          </w:tcPr>
          <w:p w14:paraId="6AFA0A8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27,27%</w:t>
            </w:r>
          </w:p>
        </w:tc>
        <w:tc>
          <w:tcPr>
            <w:tcW w:w="1093" w:type="dxa"/>
            <w:hideMark/>
          </w:tcPr>
          <w:p w14:paraId="1573375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27,10%</w:t>
            </w:r>
          </w:p>
        </w:tc>
        <w:tc>
          <w:tcPr>
            <w:tcW w:w="990" w:type="dxa"/>
            <w:hideMark/>
          </w:tcPr>
          <w:p w14:paraId="001DB03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35,19%</w:t>
            </w:r>
          </w:p>
        </w:tc>
      </w:tr>
      <w:tr w:rsidR="008729F9" w:rsidRPr="008729F9" w14:paraId="504F5B1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7C8C373"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Cagece</w:t>
            </w:r>
          </w:p>
        </w:tc>
        <w:tc>
          <w:tcPr>
            <w:tcW w:w="1248" w:type="dxa"/>
            <w:hideMark/>
          </w:tcPr>
          <w:p w14:paraId="2BFEE03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32,65%</w:t>
            </w:r>
          </w:p>
        </w:tc>
        <w:tc>
          <w:tcPr>
            <w:tcW w:w="1249" w:type="dxa"/>
            <w:hideMark/>
          </w:tcPr>
          <w:p w14:paraId="6BED387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36,13%</w:t>
            </w:r>
          </w:p>
        </w:tc>
        <w:tc>
          <w:tcPr>
            <w:tcW w:w="1249" w:type="dxa"/>
            <w:hideMark/>
          </w:tcPr>
          <w:p w14:paraId="069BD87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39,82%</w:t>
            </w:r>
          </w:p>
        </w:tc>
        <w:tc>
          <w:tcPr>
            <w:tcW w:w="1178" w:type="dxa"/>
            <w:hideMark/>
          </w:tcPr>
          <w:p w14:paraId="23CC1FB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37,75%</w:t>
            </w:r>
          </w:p>
        </w:tc>
        <w:tc>
          <w:tcPr>
            <w:tcW w:w="1093" w:type="dxa"/>
            <w:hideMark/>
          </w:tcPr>
          <w:p w14:paraId="68E9FBE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42,41%</w:t>
            </w:r>
          </w:p>
        </w:tc>
        <w:tc>
          <w:tcPr>
            <w:tcW w:w="990" w:type="dxa"/>
            <w:hideMark/>
          </w:tcPr>
          <w:p w14:paraId="7370FAB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43,82%</w:t>
            </w:r>
          </w:p>
        </w:tc>
      </w:tr>
      <w:tr w:rsidR="008729F9" w:rsidRPr="008729F9" w14:paraId="5E89D19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F66006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Cagepa</w:t>
            </w:r>
          </w:p>
        </w:tc>
        <w:tc>
          <w:tcPr>
            <w:tcW w:w="1248" w:type="dxa"/>
            <w:hideMark/>
          </w:tcPr>
          <w:p w14:paraId="57297B9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44,71%</w:t>
            </w:r>
          </w:p>
        </w:tc>
        <w:tc>
          <w:tcPr>
            <w:tcW w:w="1249" w:type="dxa"/>
            <w:hideMark/>
          </w:tcPr>
          <w:p w14:paraId="6D76BDA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46,94%</w:t>
            </w:r>
          </w:p>
        </w:tc>
        <w:tc>
          <w:tcPr>
            <w:tcW w:w="1249" w:type="dxa"/>
            <w:hideMark/>
          </w:tcPr>
          <w:p w14:paraId="7F565DD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39,37%</w:t>
            </w:r>
          </w:p>
        </w:tc>
        <w:tc>
          <w:tcPr>
            <w:tcW w:w="1178" w:type="dxa"/>
            <w:hideMark/>
          </w:tcPr>
          <w:p w14:paraId="2F5A3D4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36,42%</w:t>
            </w:r>
          </w:p>
        </w:tc>
        <w:tc>
          <w:tcPr>
            <w:tcW w:w="1093" w:type="dxa"/>
            <w:hideMark/>
          </w:tcPr>
          <w:p w14:paraId="33EE57C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38,75%</w:t>
            </w:r>
          </w:p>
        </w:tc>
        <w:tc>
          <w:tcPr>
            <w:tcW w:w="990" w:type="dxa"/>
            <w:hideMark/>
          </w:tcPr>
          <w:p w14:paraId="59A9B4C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38,38%</w:t>
            </w:r>
          </w:p>
        </w:tc>
      </w:tr>
      <w:tr w:rsidR="008729F9" w:rsidRPr="008729F9" w14:paraId="7DEEA40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3AAC1A"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Casal</w:t>
            </w:r>
          </w:p>
        </w:tc>
        <w:tc>
          <w:tcPr>
            <w:tcW w:w="1248" w:type="dxa"/>
            <w:hideMark/>
          </w:tcPr>
          <w:p w14:paraId="2DE9534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65,90%</w:t>
            </w:r>
          </w:p>
        </w:tc>
        <w:tc>
          <w:tcPr>
            <w:tcW w:w="1249" w:type="dxa"/>
            <w:hideMark/>
          </w:tcPr>
          <w:p w14:paraId="6B2C07C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64,47%</w:t>
            </w:r>
          </w:p>
        </w:tc>
        <w:tc>
          <w:tcPr>
            <w:tcW w:w="1249" w:type="dxa"/>
            <w:hideMark/>
          </w:tcPr>
          <w:p w14:paraId="13345B3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35,63%</w:t>
            </w:r>
          </w:p>
        </w:tc>
        <w:tc>
          <w:tcPr>
            <w:tcW w:w="1178" w:type="dxa"/>
            <w:hideMark/>
          </w:tcPr>
          <w:p w14:paraId="5A9BACF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48,09%</w:t>
            </w:r>
          </w:p>
        </w:tc>
        <w:tc>
          <w:tcPr>
            <w:tcW w:w="1093" w:type="dxa"/>
            <w:hideMark/>
          </w:tcPr>
          <w:p w14:paraId="21482A3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44,80%</w:t>
            </w:r>
          </w:p>
        </w:tc>
        <w:tc>
          <w:tcPr>
            <w:tcW w:w="990" w:type="dxa"/>
            <w:hideMark/>
          </w:tcPr>
          <w:p w14:paraId="68897F8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46,07%</w:t>
            </w:r>
          </w:p>
        </w:tc>
      </w:tr>
      <w:tr w:rsidR="008729F9" w:rsidRPr="008729F9" w14:paraId="3A4CA7F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716902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Casan</w:t>
            </w:r>
          </w:p>
        </w:tc>
        <w:tc>
          <w:tcPr>
            <w:tcW w:w="1248" w:type="dxa"/>
            <w:hideMark/>
          </w:tcPr>
          <w:p w14:paraId="47A5279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35,41%</w:t>
            </w:r>
          </w:p>
        </w:tc>
        <w:tc>
          <w:tcPr>
            <w:tcW w:w="1249" w:type="dxa"/>
            <w:hideMark/>
          </w:tcPr>
          <w:p w14:paraId="25EDD77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35,51%</w:t>
            </w:r>
          </w:p>
        </w:tc>
        <w:tc>
          <w:tcPr>
            <w:tcW w:w="1249" w:type="dxa"/>
            <w:hideMark/>
          </w:tcPr>
          <w:p w14:paraId="30703F8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37,20%</w:t>
            </w:r>
          </w:p>
        </w:tc>
        <w:tc>
          <w:tcPr>
            <w:tcW w:w="1178" w:type="dxa"/>
            <w:hideMark/>
          </w:tcPr>
          <w:p w14:paraId="5D431B6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36,06%</w:t>
            </w:r>
          </w:p>
        </w:tc>
        <w:tc>
          <w:tcPr>
            <w:tcW w:w="1093" w:type="dxa"/>
            <w:hideMark/>
          </w:tcPr>
          <w:p w14:paraId="7280139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39,74%</w:t>
            </w:r>
          </w:p>
        </w:tc>
        <w:tc>
          <w:tcPr>
            <w:tcW w:w="990" w:type="dxa"/>
            <w:hideMark/>
          </w:tcPr>
          <w:p w14:paraId="367B7BE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38,89%</w:t>
            </w:r>
          </w:p>
        </w:tc>
      </w:tr>
      <w:tr w:rsidR="008729F9" w:rsidRPr="008729F9" w14:paraId="260352B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9D50CF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Cedae</w:t>
            </w:r>
          </w:p>
        </w:tc>
        <w:tc>
          <w:tcPr>
            <w:tcW w:w="1248" w:type="dxa"/>
            <w:hideMark/>
          </w:tcPr>
          <w:p w14:paraId="6D5F563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31,23%</w:t>
            </w:r>
          </w:p>
        </w:tc>
        <w:tc>
          <w:tcPr>
            <w:tcW w:w="1249" w:type="dxa"/>
            <w:hideMark/>
          </w:tcPr>
          <w:p w14:paraId="7D7A764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31,60%</w:t>
            </w:r>
          </w:p>
        </w:tc>
        <w:tc>
          <w:tcPr>
            <w:tcW w:w="1249" w:type="dxa"/>
            <w:hideMark/>
          </w:tcPr>
          <w:p w14:paraId="5E198CB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30,53%</w:t>
            </w:r>
          </w:p>
        </w:tc>
        <w:tc>
          <w:tcPr>
            <w:tcW w:w="1178" w:type="dxa"/>
            <w:hideMark/>
          </w:tcPr>
          <w:p w14:paraId="153918F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30,39%</w:t>
            </w:r>
          </w:p>
        </w:tc>
        <w:tc>
          <w:tcPr>
            <w:tcW w:w="1093" w:type="dxa"/>
            <w:hideMark/>
          </w:tcPr>
          <w:p w14:paraId="4A804BB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30,55%</w:t>
            </w:r>
          </w:p>
        </w:tc>
        <w:tc>
          <w:tcPr>
            <w:tcW w:w="990" w:type="dxa"/>
            <w:hideMark/>
          </w:tcPr>
          <w:p w14:paraId="36E5B95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30,18%</w:t>
            </w:r>
          </w:p>
        </w:tc>
      </w:tr>
      <w:tr w:rsidR="008729F9" w:rsidRPr="008729F9" w14:paraId="6181D9B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888D46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Cesan</w:t>
            </w:r>
          </w:p>
        </w:tc>
        <w:tc>
          <w:tcPr>
            <w:tcW w:w="1248" w:type="dxa"/>
            <w:hideMark/>
          </w:tcPr>
          <w:p w14:paraId="644852E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34,67%</w:t>
            </w:r>
          </w:p>
        </w:tc>
        <w:tc>
          <w:tcPr>
            <w:tcW w:w="1249" w:type="dxa"/>
            <w:hideMark/>
          </w:tcPr>
          <w:p w14:paraId="45A1FEB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35,60%</w:t>
            </w:r>
          </w:p>
        </w:tc>
        <w:tc>
          <w:tcPr>
            <w:tcW w:w="1249" w:type="dxa"/>
            <w:hideMark/>
          </w:tcPr>
          <w:p w14:paraId="72B5FAF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35,96%</w:t>
            </w:r>
          </w:p>
        </w:tc>
        <w:tc>
          <w:tcPr>
            <w:tcW w:w="1178" w:type="dxa"/>
            <w:hideMark/>
          </w:tcPr>
          <w:p w14:paraId="4A6A987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33,70%</w:t>
            </w:r>
          </w:p>
        </w:tc>
        <w:tc>
          <w:tcPr>
            <w:tcW w:w="1093" w:type="dxa"/>
            <w:hideMark/>
          </w:tcPr>
          <w:p w14:paraId="766733D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33,01%</w:t>
            </w:r>
          </w:p>
        </w:tc>
        <w:tc>
          <w:tcPr>
            <w:tcW w:w="990" w:type="dxa"/>
            <w:hideMark/>
          </w:tcPr>
          <w:p w14:paraId="703CA48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35,71%</w:t>
            </w:r>
          </w:p>
        </w:tc>
      </w:tr>
      <w:tr w:rsidR="008729F9" w:rsidRPr="008729F9" w14:paraId="5248F90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D8929C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Compesa</w:t>
            </w:r>
          </w:p>
        </w:tc>
        <w:tc>
          <w:tcPr>
            <w:tcW w:w="1248" w:type="dxa"/>
            <w:hideMark/>
          </w:tcPr>
          <w:p w14:paraId="22138B6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66,19%</w:t>
            </w:r>
          </w:p>
        </w:tc>
        <w:tc>
          <w:tcPr>
            <w:tcW w:w="1249" w:type="dxa"/>
            <w:hideMark/>
          </w:tcPr>
          <w:p w14:paraId="62D7FAC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65,95%</w:t>
            </w:r>
          </w:p>
        </w:tc>
        <w:tc>
          <w:tcPr>
            <w:tcW w:w="1249" w:type="dxa"/>
            <w:hideMark/>
          </w:tcPr>
          <w:p w14:paraId="12BBC67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54,98%</w:t>
            </w:r>
          </w:p>
        </w:tc>
        <w:tc>
          <w:tcPr>
            <w:tcW w:w="1178" w:type="dxa"/>
            <w:hideMark/>
          </w:tcPr>
          <w:p w14:paraId="48BA4D0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53,84%</w:t>
            </w:r>
          </w:p>
        </w:tc>
        <w:tc>
          <w:tcPr>
            <w:tcW w:w="1093" w:type="dxa"/>
            <w:hideMark/>
          </w:tcPr>
          <w:p w14:paraId="2E28DD8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51,89%</w:t>
            </w:r>
          </w:p>
        </w:tc>
        <w:tc>
          <w:tcPr>
            <w:tcW w:w="990" w:type="dxa"/>
            <w:hideMark/>
          </w:tcPr>
          <w:p w14:paraId="70C8614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50,97%</w:t>
            </w:r>
          </w:p>
        </w:tc>
      </w:tr>
      <w:tr w:rsidR="008729F9" w:rsidRPr="008729F9" w14:paraId="4020FBC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4871EC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Copasa</w:t>
            </w:r>
          </w:p>
        </w:tc>
        <w:tc>
          <w:tcPr>
            <w:tcW w:w="1248" w:type="dxa"/>
            <w:hideMark/>
          </w:tcPr>
          <w:p w14:paraId="5EB53EF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32,97%</w:t>
            </w:r>
          </w:p>
        </w:tc>
        <w:tc>
          <w:tcPr>
            <w:tcW w:w="1249" w:type="dxa"/>
            <w:hideMark/>
          </w:tcPr>
          <w:p w14:paraId="6A3E69A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32,52%</w:t>
            </w:r>
          </w:p>
        </w:tc>
        <w:tc>
          <w:tcPr>
            <w:tcW w:w="1249" w:type="dxa"/>
            <w:hideMark/>
          </w:tcPr>
          <w:p w14:paraId="7768A55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33,18%</w:t>
            </w:r>
          </w:p>
        </w:tc>
        <w:tc>
          <w:tcPr>
            <w:tcW w:w="1178" w:type="dxa"/>
            <w:hideMark/>
          </w:tcPr>
          <w:p w14:paraId="049B6A0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33,75%</w:t>
            </w:r>
          </w:p>
        </w:tc>
        <w:tc>
          <w:tcPr>
            <w:tcW w:w="1093" w:type="dxa"/>
            <w:hideMark/>
          </w:tcPr>
          <w:p w14:paraId="594022C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33,64%</w:t>
            </w:r>
          </w:p>
        </w:tc>
        <w:tc>
          <w:tcPr>
            <w:tcW w:w="990" w:type="dxa"/>
            <w:hideMark/>
          </w:tcPr>
          <w:p w14:paraId="0C84078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35,18%</w:t>
            </w:r>
          </w:p>
        </w:tc>
      </w:tr>
      <w:tr w:rsidR="008729F9" w:rsidRPr="008729F9" w14:paraId="2AF3287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C684DF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Corsan</w:t>
            </w:r>
          </w:p>
        </w:tc>
        <w:tc>
          <w:tcPr>
            <w:tcW w:w="1248" w:type="dxa"/>
            <w:hideMark/>
          </w:tcPr>
          <w:p w14:paraId="588512C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41,13%</w:t>
            </w:r>
          </w:p>
        </w:tc>
        <w:tc>
          <w:tcPr>
            <w:tcW w:w="1249" w:type="dxa"/>
            <w:hideMark/>
          </w:tcPr>
          <w:p w14:paraId="042DCEF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41,74%</w:t>
            </w:r>
          </w:p>
        </w:tc>
        <w:tc>
          <w:tcPr>
            <w:tcW w:w="1249" w:type="dxa"/>
            <w:hideMark/>
          </w:tcPr>
          <w:p w14:paraId="6C695A1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45,01%</w:t>
            </w:r>
          </w:p>
        </w:tc>
        <w:tc>
          <w:tcPr>
            <w:tcW w:w="1178" w:type="dxa"/>
            <w:hideMark/>
          </w:tcPr>
          <w:p w14:paraId="20B2942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38,89%</w:t>
            </w:r>
          </w:p>
        </w:tc>
        <w:tc>
          <w:tcPr>
            <w:tcW w:w="1093" w:type="dxa"/>
            <w:hideMark/>
          </w:tcPr>
          <w:p w14:paraId="7DE9730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31,47%</w:t>
            </w:r>
          </w:p>
        </w:tc>
        <w:tc>
          <w:tcPr>
            <w:tcW w:w="990" w:type="dxa"/>
            <w:hideMark/>
          </w:tcPr>
          <w:p w14:paraId="7FEFBB5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32,61%</w:t>
            </w:r>
          </w:p>
        </w:tc>
      </w:tr>
      <w:tr w:rsidR="008729F9" w:rsidRPr="008729F9" w14:paraId="55997AF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D641CB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Cosanpa</w:t>
            </w:r>
          </w:p>
        </w:tc>
        <w:tc>
          <w:tcPr>
            <w:tcW w:w="1248" w:type="dxa"/>
            <w:hideMark/>
          </w:tcPr>
          <w:p w14:paraId="14ADACB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46,89%</w:t>
            </w:r>
          </w:p>
        </w:tc>
        <w:tc>
          <w:tcPr>
            <w:tcW w:w="1249" w:type="dxa"/>
            <w:hideMark/>
          </w:tcPr>
          <w:p w14:paraId="65C87A7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45,35%</w:t>
            </w:r>
          </w:p>
        </w:tc>
        <w:tc>
          <w:tcPr>
            <w:tcW w:w="1249" w:type="dxa"/>
            <w:hideMark/>
          </w:tcPr>
          <w:p w14:paraId="5710179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47,77%</w:t>
            </w:r>
          </w:p>
        </w:tc>
        <w:tc>
          <w:tcPr>
            <w:tcW w:w="1178" w:type="dxa"/>
            <w:hideMark/>
          </w:tcPr>
          <w:p w14:paraId="1F65608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47,94%</w:t>
            </w:r>
          </w:p>
        </w:tc>
        <w:tc>
          <w:tcPr>
            <w:tcW w:w="1093" w:type="dxa"/>
            <w:hideMark/>
          </w:tcPr>
          <w:p w14:paraId="0F34299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45,90%</w:t>
            </w:r>
          </w:p>
        </w:tc>
        <w:tc>
          <w:tcPr>
            <w:tcW w:w="990" w:type="dxa"/>
            <w:hideMark/>
          </w:tcPr>
          <w:p w14:paraId="5F2CD2A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42,55%</w:t>
            </w:r>
          </w:p>
        </w:tc>
      </w:tr>
      <w:tr w:rsidR="008729F9" w:rsidRPr="008729F9" w14:paraId="73A085A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C0E9DE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Depasa</w:t>
            </w:r>
          </w:p>
        </w:tc>
        <w:tc>
          <w:tcPr>
            <w:tcW w:w="1248" w:type="dxa"/>
            <w:hideMark/>
          </w:tcPr>
          <w:p w14:paraId="57CCC11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49,13%</w:t>
            </w:r>
          </w:p>
        </w:tc>
        <w:tc>
          <w:tcPr>
            <w:tcW w:w="1249" w:type="dxa"/>
            <w:hideMark/>
          </w:tcPr>
          <w:p w14:paraId="6519953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57,80%</w:t>
            </w:r>
          </w:p>
        </w:tc>
        <w:tc>
          <w:tcPr>
            <w:tcW w:w="1249" w:type="dxa"/>
            <w:hideMark/>
          </w:tcPr>
          <w:p w14:paraId="217DEF0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60,19%</w:t>
            </w:r>
          </w:p>
        </w:tc>
        <w:tc>
          <w:tcPr>
            <w:tcW w:w="1178" w:type="dxa"/>
            <w:hideMark/>
          </w:tcPr>
          <w:p w14:paraId="7747415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55,95%</w:t>
            </w:r>
          </w:p>
        </w:tc>
        <w:tc>
          <w:tcPr>
            <w:tcW w:w="1093" w:type="dxa"/>
            <w:hideMark/>
          </w:tcPr>
          <w:p w14:paraId="03A2C57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54,98%</w:t>
            </w:r>
          </w:p>
        </w:tc>
        <w:tc>
          <w:tcPr>
            <w:tcW w:w="990" w:type="dxa"/>
            <w:hideMark/>
          </w:tcPr>
          <w:p w14:paraId="167DCFF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56,67%</w:t>
            </w:r>
          </w:p>
        </w:tc>
      </w:tr>
      <w:tr w:rsidR="008729F9" w:rsidRPr="008729F9" w14:paraId="271C696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035589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Deso</w:t>
            </w:r>
          </w:p>
        </w:tc>
        <w:tc>
          <w:tcPr>
            <w:tcW w:w="1248" w:type="dxa"/>
            <w:hideMark/>
          </w:tcPr>
          <w:p w14:paraId="4993DCB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59,04%</w:t>
            </w:r>
          </w:p>
        </w:tc>
        <w:tc>
          <w:tcPr>
            <w:tcW w:w="1249" w:type="dxa"/>
            <w:hideMark/>
          </w:tcPr>
          <w:p w14:paraId="48862B5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60,52%</w:t>
            </w:r>
          </w:p>
        </w:tc>
        <w:tc>
          <w:tcPr>
            <w:tcW w:w="1249" w:type="dxa"/>
            <w:hideMark/>
          </w:tcPr>
          <w:p w14:paraId="5E38CB6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59,95%</w:t>
            </w:r>
          </w:p>
        </w:tc>
        <w:tc>
          <w:tcPr>
            <w:tcW w:w="1178" w:type="dxa"/>
            <w:hideMark/>
          </w:tcPr>
          <w:p w14:paraId="43DFBD0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59,47%</w:t>
            </w:r>
          </w:p>
        </w:tc>
        <w:tc>
          <w:tcPr>
            <w:tcW w:w="1093" w:type="dxa"/>
            <w:hideMark/>
          </w:tcPr>
          <w:p w14:paraId="79639F7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60,83%</w:t>
            </w:r>
          </w:p>
        </w:tc>
        <w:tc>
          <w:tcPr>
            <w:tcW w:w="990" w:type="dxa"/>
            <w:hideMark/>
          </w:tcPr>
          <w:p w14:paraId="7DEA787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53,08%</w:t>
            </w:r>
          </w:p>
        </w:tc>
      </w:tr>
      <w:tr w:rsidR="008729F9" w:rsidRPr="008729F9" w14:paraId="2DE8137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803D40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Embasa</w:t>
            </w:r>
          </w:p>
        </w:tc>
        <w:tc>
          <w:tcPr>
            <w:tcW w:w="1248" w:type="dxa"/>
            <w:hideMark/>
          </w:tcPr>
          <w:p w14:paraId="15EAF5C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37,06%</w:t>
            </w:r>
          </w:p>
        </w:tc>
        <w:tc>
          <w:tcPr>
            <w:tcW w:w="1249" w:type="dxa"/>
            <w:hideMark/>
          </w:tcPr>
          <w:p w14:paraId="71E495B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38,31%</w:t>
            </w:r>
          </w:p>
        </w:tc>
        <w:tc>
          <w:tcPr>
            <w:tcW w:w="1249" w:type="dxa"/>
            <w:hideMark/>
          </w:tcPr>
          <w:p w14:paraId="6950319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39,36%</w:t>
            </w:r>
          </w:p>
        </w:tc>
        <w:tc>
          <w:tcPr>
            <w:tcW w:w="1178" w:type="dxa"/>
            <w:hideMark/>
          </w:tcPr>
          <w:p w14:paraId="448B835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43,01%</w:t>
            </w:r>
          </w:p>
        </w:tc>
        <w:tc>
          <w:tcPr>
            <w:tcW w:w="1093" w:type="dxa"/>
            <w:hideMark/>
          </w:tcPr>
          <w:p w14:paraId="373A626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40,42%</w:t>
            </w:r>
          </w:p>
        </w:tc>
        <w:tc>
          <w:tcPr>
            <w:tcW w:w="990" w:type="dxa"/>
            <w:hideMark/>
          </w:tcPr>
          <w:p w14:paraId="55DD829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38,51%</w:t>
            </w:r>
          </w:p>
        </w:tc>
      </w:tr>
      <w:tr w:rsidR="008729F9" w:rsidRPr="008729F9" w14:paraId="10271EA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B401EB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Sabesp</w:t>
            </w:r>
          </w:p>
        </w:tc>
        <w:tc>
          <w:tcPr>
            <w:tcW w:w="1248" w:type="dxa"/>
            <w:hideMark/>
          </w:tcPr>
          <w:p w14:paraId="25E8165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34,51%</w:t>
            </w:r>
          </w:p>
        </w:tc>
        <w:tc>
          <w:tcPr>
            <w:tcW w:w="1249" w:type="dxa"/>
            <w:hideMark/>
          </w:tcPr>
          <w:p w14:paraId="53AD239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33,99%</w:t>
            </w:r>
          </w:p>
        </w:tc>
        <w:tc>
          <w:tcPr>
            <w:tcW w:w="1249" w:type="dxa"/>
            <w:hideMark/>
          </w:tcPr>
          <w:p w14:paraId="343AABC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33,54%</w:t>
            </w:r>
          </w:p>
        </w:tc>
        <w:tc>
          <w:tcPr>
            <w:tcW w:w="1178" w:type="dxa"/>
            <w:hideMark/>
          </w:tcPr>
          <w:p w14:paraId="49DD927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32,84%</w:t>
            </w:r>
          </w:p>
        </w:tc>
        <w:tc>
          <w:tcPr>
            <w:tcW w:w="1093" w:type="dxa"/>
            <w:hideMark/>
          </w:tcPr>
          <w:p w14:paraId="5447D10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31,40%</w:t>
            </w:r>
          </w:p>
        </w:tc>
        <w:tc>
          <w:tcPr>
            <w:tcW w:w="990" w:type="dxa"/>
            <w:hideMark/>
          </w:tcPr>
          <w:p w14:paraId="622A69B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30,46%</w:t>
            </w:r>
          </w:p>
        </w:tc>
      </w:tr>
      <w:tr w:rsidR="008729F9" w:rsidRPr="008729F9" w14:paraId="68E9EF1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7CEA4FC"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Saneago</w:t>
            </w:r>
          </w:p>
        </w:tc>
        <w:tc>
          <w:tcPr>
            <w:tcW w:w="1248" w:type="dxa"/>
            <w:hideMark/>
          </w:tcPr>
          <w:p w14:paraId="5D9C2E9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32,16%</w:t>
            </w:r>
          </w:p>
        </w:tc>
        <w:tc>
          <w:tcPr>
            <w:tcW w:w="1249" w:type="dxa"/>
            <w:hideMark/>
          </w:tcPr>
          <w:p w14:paraId="4BB5196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31,64%</w:t>
            </w:r>
          </w:p>
        </w:tc>
        <w:tc>
          <w:tcPr>
            <w:tcW w:w="1249" w:type="dxa"/>
            <w:hideMark/>
          </w:tcPr>
          <w:p w14:paraId="7D9D1CA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29,54%</w:t>
            </w:r>
          </w:p>
        </w:tc>
        <w:tc>
          <w:tcPr>
            <w:tcW w:w="1178" w:type="dxa"/>
            <w:hideMark/>
          </w:tcPr>
          <w:p w14:paraId="0F60F30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28,67%</w:t>
            </w:r>
          </w:p>
        </w:tc>
        <w:tc>
          <w:tcPr>
            <w:tcW w:w="1093" w:type="dxa"/>
            <w:hideMark/>
          </w:tcPr>
          <w:p w14:paraId="155854F2"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28,62%</w:t>
            </w:r>
          </w:p>
        </w:tc>
        <w:tc>
          <w:tcPr>
            <w:tcW w:w="990" w:type="dxa"/>
            <w:hideMark/>
          </w:tcPr>
          <w:p w14:paraId="78BF95F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29,84%</w:t>
            </w:r>
          </w:p>
        </w:tc>
      </w:tr>
      <w:tr w:rsidR="008729F9" w:rsidRPr="008729F9" w14:paraId="644F981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18619A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val="es-CO" w:eastAsia="es-CO"/>
              </w:rPr>
              <w:t>Saneatins</w:t>
            </w:r>
          </w:p>
        </w:tc>
        <w:tc>
          <w:tcPr>
            <w:tcW w:w="1248" w:type="dxa"/>
            <w:hideMark/>
          </w:tcPr>
          <w:p w14:paraId="4092DC6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32,98%</w:t>
            </w:r>
          </w:p>
        </w:tc>
        <w:tc>
          <w:tcPr>
            <w:tcW w:w="1249" w:type="dxa"/>
            <w:hideMark/>
          </w:tcPr>
          <w:p w14:paraId="5D1E593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35,47%</w:t>
            </w:r>
          </w:p>
        </w:tc>
        <w:tc>
          <w:tcPr>
            <w:tcW w:w="1249" w:type="dxa"/>
            <w:hideMark/>
          </w:tcPr>
          <w:p w14:paraId="7051B89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35,54%</w:t>
            </w:r>
          </w:p>
        </w:tc>
        <w:tc>
          <w:tcPr>
            <w:tcW w:w="1178" w:type="dxa"/>
            <w:hideMark/>
          </w:tcPr>
          <w:p w14:paraId="0A22A33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34,64%</w:t>
            </w:r>
          </w:p>
        </w:tc>
        <w:tc>
          <w:tcPr>
            <w:tcW w:w="1093" w:type="dxa"/>
            <w:hideMark/>
          </w:tcPr>
          <w:p w14:paraId="6DDC374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31,39%</w:t>
            </w:r>
          </w:p>
        </w:tc>
        <w:tc>
          <w:tcPr>
            <w:tcW w:w="990" w:type="dxa"/>
            <w:hideMark/>
          </w:tcPr>
          <w:p w14:paraId="3442089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39,00%</w:t>
            </w:r>
          </w:p>
        </w:tc>
      </w:tr>
      <w:tr w:rsidR="008729F9" w:rsidRPr="008729F9" w14:paraId="63D2193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C8A760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Sanepar</w:t>
            </w:r>
          </w:p>
        </w:tc>
        <w:tc>
          <w:tcPr>
            <w:tcW w:w="1248" w:type="dxa"/>
            <w:hideMark/>
          </w:tcPr>
          <w:p w14:paraId="46DEFC4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32,36%</w:t>
            </w:r>
          </w:p>
        </w:tc>
        <w:tc>
          <w:tcPr>
            <w:tcW w:w="1249" w:type="dxa"/>
            <w:hideMark/>
          </w:tcPr>
          <w:p w14:paraId="738114C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33,05%</w:t>
            </w:r>
          </w:p>
        </w:tc>
        <w:tc>
          <w:tcPr>
            <w:tcW w:w="1249" w:type="dxa"/>
            <w:hideMark/>
          </w:tcPr>
          <w:p w14:paraId="3A07AA4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33,11%</w:t>
            </w:r>
          </w:p>
        </w:tc>
        <w:tc>
          <w:tcPr>
            <w:tcW w:w="1178" w:type="dxa"/>
            <w:hideMark/>
          </w:tcPr>
          <w:p w14:paraId="531B58D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33,36%</w:t>
            </w:r>
          </w:p>
        </w:tc>
        <w:tc>
          <w:tcPr>
            <w:tcW w:w="1093" w:type="dxa"/>
            <w:hideMark/>
          </w:tcPr>
          <w:p w14:paraId="5B2C89D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32,51%</w:t>
            </w:r>
          </w:p>
        </w:tc>
        <w:tc>
          <w:tcPr>
            <w:tcW w:w="990" w:type="dxa"/>
            <w:hideMark/>
          </w:tcPr>
          <w:p w14:paraId="56B11DD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33,71%</w:t>
            </w:r>
          </w:p>
        </w:tc>
      </w:tr>
      <w:tr w:rsidR="008729F9" w:rsidRPr="008729F9" w14:paraId="5836929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E1F477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Sanesul</w:t>
            </w:r>
          </w:p>
        </w:tc>
        <w:tc>
          <w:tcPr>
            <w:tcW w:w="1248" w:type="dxa"/>
            <w:hideMark/>
          </w:tcPr>
          <w:p w14:paraId="6104DE2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35,63%</w:t>
            </w:r>
          </w:p>
        </w:tc>
        <w:tc>
          <w:tcPr>
            <w:tcW w:w="1249" w:type="dxa"/>
            <w:hideMark/>
          </w:tcPr>
          <w:p w14:paraId="12CB035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36,34%</w:t>
            </w:r>
          </w:p>
        </w:tc>
        <w:tc>
          <w:tcPr>
            <w:tcW w:w="1249" w:type="dxa"/>
            <w:hideMark/>
          </w:tcPr>
          <w:p w14:paraId="114BE88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36,62%</w:t>
            </w:r>
          </w:p>
        </w:tc>
        <w:tc>
          <w:tcPr>
            <w:tcW w:w="1178" w:type="dxa"/>
            <w:hideMark/>
          </w:tcPr>
          <w:p w14:paraId="2824B7F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37,15%</w:t>
            </w:r>
          </w:p>
        </w:tc>
        <w:tc>
          <w:tcPr>
            <w:tcW w:w="1093" w:type="dxa"/>
            <w:hideMark/>
          </w:tcPr>
          <w:p w14:paraId="23B37E8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37,76%</w:t>
            </w:r>
          </w:p>
        </w:tc>
        <w:tc>
          <w:tcPr>
            <w:tcW w:w="990" w:type="dxa"/>
            <w:hideMark/>
          </w:tcPr>
          <w:p w14:paraId="38094F5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37,81%</w:t>
            </w:r>
          </w:p>
        </w:tc>
      </w:tr>
    </w:tbl>
    <w:p w14:paraId="2BBB65C1" w14:textId="7CB2C9E8" w:rsidR="00A30FCF" w:rsidRPr="00042F25" w:rsidRDefault="00A30FCF" w:rsidP="00A30FCF">
      <w:pPr>
        <w:pStyle w:val="Descripcin"/>
        <w:spacing w:before="0" w:beforeAutospacing="0"/>
        <w:jc w:val="left"/>
        <w:rPr>
          <w:sz w:val="20"/>
        </w:rPr>
      </w:pPr>
      <w:r w:rsidRPr="00042F25">
        <w:rPr>
          <w:sz w:val="20"/>
        </w:rPr>
        <w:lastRenderedPageBreak/>
        <w:t>Fonte: SNIS 2015. Elaborado por: GO Associados</w:t>
      </w:r>
    </w:p>
    <w:p w14:paraId="33022078" w14:textId="73A45B21" w:rsidR="008729F9" w:rsidRDefault="00A30FCF" w:rsidP="00272793">
      <w:pPr>
        <w:pStyle w:val="Descripcin"/>
      </w:pPr>
      <w:bookmarkStart w:id="40" w:name="_Toc493222485"/>
      <w:r w:rsidRPr="00042F25">
        <w:t xml:space="preserve">Quadro </w:t>
      </w:r>
      <w:fldSimple w:instr=" SEQ Quadro \* ARABIC ">
        <w:r w:rsidR="00B64D1C" w:rsidRPr="00042F25">
          <w:rPr>
            <w:noProof/>
          </w:rPr>
          <w:t>22</w:t>
        </w:r>
      </w:fldSimple>
      <w:r w:rsidRPr="00042F25">
        <w:t xml:space="preserve"> – Índ</w:t>
      </w:r>
      <w:r w:rsidR="001230FC" w:rsidRPr="00042F25">
        <w:t xml:space="preserve">ice de </w:t>
      </w:r>
      <w:r w:rsidR="001512A0" w:rsidRPr="00042F25">
        <w:t>Perdas por L</w:t>
      </w:r>
      <w:r w:rsidR="001230FC" w:rsidRPr="00042F25">
        <w:t>igação (IN051</w:t>
      </w:r>
      <w:r w:rsidRPr="00042F25">
        <w:t>)</w:t>
      </w:r>
      <w:bookmarkEnd w:id="40"/>
    </w:p>
    <w:tbl>
      <w:tblPr>
        <w:tblStyle w:val="Tabladecuadrcula4-nfasis11"/>
        <w:tblW w:w="9678" w:type="dxa"/>
        <w:jc w:val="center"/>
        <w:tblLook w:val="04A0" w:firstRow="1" w:lastRow="0" w:firstColumn="1" w:lastColumn="0" w:noHBand="0" w:noVBand="1"/>
      </w:tblPr>
      <w:tblGrid>
        <w:gridCol w:w="1231"/>
        <w:gridCol w:w="1426"/>
        <w:gridCol w:w="1426"/>
        <w:gridCol w:w="1426"/>
        <w:gridCol w:w="1414"/>
        <w:gridCol w:w="1329"/>
        <w:gridCol w:w="1426"/>
      </w:tblGrid>
      <w:tr w:rsidR="008729F9" w:rsidRPr="008729F9" w14:paraId="22372438" w14:textId="77777777" w:rsidTr="00EA348F">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C88B2FA" w14:textId="77777777" w:rsidR="008729F9" w:rsidRPr="008729F9" w:rsidRDefault="008729F9" w:rsidP="008729F9">
            <w:pPr>
              <w:spacing w:before="0" w:beforeAutospacing="0" w:after="0" w:afterAutospacing="0" w:line="240" w:lineRule="auto"/>
              <w:ind w:firstLine="0"/>
              <w:jc w:val="left"/>
              <w:rPr>
                <w:b w:val="0"/>
                <w:bCs w:val="0"/>
                <w:color w:val="FFFFFF"/>
                <w:sz w:val="22"/>
                <w:lang w:val="es-CO" w:eastAsia="es-CO"/>
              </w:rPr>
            </w:pPr>
            <w:r w:rsidRPr="008729F9">
              <w:rPr>
                <w:b w:val="0"/>
                <w:bCs w:val="0"/>
                <w:color w:val="FFFFFF"/>
                <w:sz w:val="22"/>
                <w:lang w:eastAsia="es-CO"/>
              </w:rPr>
              <w:t>Empresa</w:t>
            </w:r>
          </w:p>
        </w:tc>
        <w:tc>
          <w:tcPr>
            <w:tcW w:w="1426" w:type="dxa"/>
            <w:hideMark/>
          </w:tcPr>
          <w:p w14:paraId="03470BBF"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2010</w:t>
            </w:r>
          </w:p>
        </w:tc>
        <w:tc>
          <w:tcPr>
            <w:tcW w:w="1426" w:type="dxa"/>
            <w:hideMark/>
          </w:tcPr>
          <w:p w14:paraId="579A5994"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2011</w:t>
            </w:r>
          </w:p>
        </w:tc>
        <w:tc>
          <w:tcPr>
            <w:tcW w:w="1426" w:type="dxa"/>
            <w:hideMark/>
          </w:tcPr>
          <w:p w14:paraId="576B6FA3"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2012</w:t>
            </w:r>
          </w:p>
        </w:tc>
        <w:tc>
          <w:tcPr>
            <w:tcW w:w="1414" w:type="dxa"/>
            <w:hideMark/>
          </w:tcPr>
          <w:p w14:paraId="4FA6AE22"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2013</w:t>
            </w:r>
          </w:p>
        </w:tc>
        <w:tc>
          <w:tcPr>
            <w:tcW w:w="1329" w:type="dxa"/>
            <w:hideMark/>
          </w:tcPr>
          <w:p w14:paraId="48733A19"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2014</w:t>
            </w:r>
          </w:p>
        </w:tc>
        <w:tc>
          <w:tcPr>
            <w:tcW w:w="1426" w:type="dxa"/>
            <w:hideMark/>
          </w:tcPr>
          <w:p w14:paraId="0788B291" w14:textId="77777777" w:rsidR="008729F9" w:rsidRPr="008729F9" w:rsidRDefault="008729F9" w:rsidP="008729F9">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8729F9">
              <w:rPr>
                <w:b w:val="0"/>
                <w:bCs w:val="0"/>
                <w:color w:val="FFFFFF"/>
                <w:sz w:val="22"/>
                <w:lang w:eastAsia="es-CO"/>
              </w:rPr>
              <w:t>2015</w:t>
            </w:r>
          </w:p>
        </w:tc>
      </w:tr>
      <w:tr w:rsidR="008729F9" w:rsidRPr="008729F9" w14:paraId="549190A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8752D05"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Agespisa</w:t>
            </w:r>
          </w:p>
        </w:tc>
        <w:tc>
          <w:tcPr>
            <w:tcW w:w="1426" w:type="dxa"/>
            <w:hideMark/>
          </w:tcPr>
          <w:p w14:paraId="024CE6E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447,72 </w:t>
            </w:r>
          </w:p>
        </w:tc>
        <w:tc>
          <w:tcPr>
            <w:tcW w:w="1426" w:type="dxa"/>
            <w:hideMark/>
          </w:tcPr>
          <w:p w14:paraId="5B429D0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582,81 </w:t>
            </w:r>
          </w:p>
        </w:tc>
        <w:tc>
          <w:tcPr>
            <w:tcW w:w="1426" w:type="dxa"/>
            <w:hideMark/>
          </w:tcPr>
          <w:p w14:paraId="258E29F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487,19 </w:t>
            </w:r>
          </w:p>
        </w:tc>
        <w:tc>
          <w:tcPr>
            <w:tcW w:w="1414" w:type="dxa"/>
            <w:hideMark/>
          </w:tcPr>
          <w:p w14:paraId="59EC200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445,02 </w:t>
            </w:r>
          </w:p>
        </w:tc>
        <w:tc>
          <w:tcPr>
            <w:tcW w:w="1329" w:type="dxa"/>
            <w:hideMark/>
          </w:tcPr>
          <w:p w14:paraId="5296653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450,45 </w:t>
            </w:r>
          </w:p>
        </w:tc>
        <w:tc>
          <w:tcPr>
            <w:tcW w:w="1426" w:type="dxa"/>
            <w:hideMark/>
          </w:tcPr>
          <w:p w14:paraId="6EB5EEA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345,79 </w:t>
            </w:r>
          </w:p>
        </w:tc>
      </w:tr>
      <w:tr w:rsidR="008729F9" w:rsidRPr="008729F9" w14:paraId="46CFDE4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F67269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Caema</w:t>
            </w:r>
          </w:p>
        </w:tc>
        <w:tc>
          <w:tcPr>
            <w:tcW w:w="1426" w:type="dxa"/>
            <w:hideMark/>
          </w:tcPr>
          <w:p w14:paraId="63414DF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1.036,22 </w:t>
            </w:r>
          </w:p>
        </w:tc>
        <w:tc>
          <w:tcPr>
            <w:tcW w:w="1426" w:type="dxa"/>
            <w:hideMark/>
          </w:tcPr>
          <w:p w14:paraId="5B59038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910,09 </w:t>
            </w:r>
          </w:p>
        </w:tc>
        <w:tc>
          <w:tcPr>
            <w:tcW w:w="1426" w:type="dxa"/>
            <w:hideMark/>
          </w:tcPr>
          <w:p w14:paraId="00E9231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687,84 </w:t>
            </w:r>
          </w:p>
        </w:tc>
        <w:tc>
          <w:tcPr>
            <w:tcW w:w="1414" w:type="dxa"/>
            <w:hideMark/>
          </w:tcPr>
          <w:p w14:paraId="0AF4FDE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594,92 </w:t>
            </w:r>
          </w:p>
        </w:tc>
        <w:tc>
          <w:tcPr>
            <w:tcW w:w="1329" w:type="dxa"/>
            <w:hideMark/>
          </w:tcPr>
          <w:p w14:paraId="73BD761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902,20 </w:t>
            </w:r>
          </w:p>
        </w:tc>
        <w:tc>
          <w:tcPr>
            <w:tcW w:w="1426" w:type="dxa"/>
            <w:hideMark/>
          </w:tcPr>
          <w:p w14:paraId="46690AC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986,65 </w:t>
            </w:r>
          </w:p>
        </w:tc>
      </w:tr>
      <w:tr w:rsidR="008729F9" w:rsidRPr="008729F9" w14:paraId="45A4FB0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F8FC73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w:t>
            </w:r>
          </w:p>
        </w:tc>
        <w:tc>
          <w:tcPr>
            <w:tcW w:w="1426" w:type="dxa"/>
            <w:hideMark/>
          </w:tcPr>
          <w:p w14:paraId="39D9D53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832,78 </w:t>
            </w:r>
          </w:p>
        </w:tc>
        <w:tc>
          <w:tcPr>
            <w:tcW w:w="1426" w:type="dxa"/>
            <w:hideMark/>
          </w:tcPr>
          <w:p w14:paraId="74D5186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800,09 </w:t>
            </w:r>
          </w:p>
        </w:tc>
        <w:tc>
          <w:tcPr>
            <w:tcW w:w="1426" w:type="dxa"/>
            <w:hideMark/>
          </w:tcPr>
          <w:p w14:paraId="2E15686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823,32 </w:t>
            </w:r>
          </w:p>
        </w:tc>
        <w:tc>
          <w:tcPr>
            <w:tcW w:w="1414" w:type="dxa"/>
            <w:hideMark/>
          </w:tcPr>
          <w:p w14:paraId="06531A8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848,61 </w:t>
            </w:r>
          </w:p>
        </w:tc>
        <w:tc>
          <w:tcPr>
            <w:tcW w:w="1329" w:type="dxa"/>
            <w:hideMark/>
          </w:tcPr>
          <w:p w14:paraId="3D2E529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884,51 </w:t>
            </w:r>
          </w:p>
        </w:tc>
        <w:tc>
          <w:tcPr>
            <w:tcW w:w="1426" w:type="dxa"/>
            <w:hideMark/>
          </w:tcPr>
          <w:p w14:paraId="35241E2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914,07 </w:t>
            </w:r>
          </w:p>
        </w:tc>
      </w:tr>
      <w:tr w:rsidR="008729F9" w:rsidRPr="008729F9" w14:paraId="29E67B3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53F455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Caerd</w:t>
            </w:r>
          </w:p>
        </w:tc>
        <w:tc>
          <w:tcPr>
            <w:tcW w:w="1426" w:type="dxa"/>
            <w:hideMark/>
          </w:tcPr>
          <w:p w14:paraId="4753CF8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1.096,73 </w:t>
            </w:r>
          </w:p>
        </w:tc>
        <w:tc>
          <w:tcPr>
            <w:tcW w:w="1426" w:type="dxa"/>
            <w:hideMark/>
          </w:tcPr>
          <w:p w14:paraId="754C6AD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992,59 </w:t>
            </w:r>
          </w:p>
        </w:tc>
        <w:tc>
          <w:tcPr>
            <w:tcW w:w="1426" w:type="dxa"/>
            <w:hideMark/>
          </w:tcPr>
          <w:p w14:paraId="0FABB84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877,77 </w:t>
            </w:r>
          </w:p>
        </w:tc>
        <w:tc>
          <w:tcPr>
            <w:tcW w:w="1414" w:type="dxa"/>
            <w:hideMark/>
          </w:tcPr>
          <w:p w14:paraId="49C99DD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838,95 </w:t>
            </w:r>
          </w:p>
        </w:tc>
        <w:tc>
          <w:tcPr>
            <w:tcW w:w="1329" w:type="dxa"/>
            <w:hideMark/>
          </w:tcPr>
          <w:p w14:paraId="56B9FCD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803,62 </w:t>
            </w:r>
          </w:p>
        </w:tc>
        <w:tc>
          <w:tcPr>
            <w:tcW w:w="1426" w:type="dxa"/>
            <w:hideMark/>
          </w:tcPr>
          <w:p w14:paraId="382621A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702,74 </w:t>
            </w:r>
          </w:p>
        </w:tc>
      </w:tr>
      <w:tr w:rsidR="008729F9" w:rsidRPr="008729F9" w14:paraId="553126F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A1265AC"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Caern</w:t>
            </w:r>
          </w:p>
        </w:tc>
        <w:tc>
          <w:tcPr>
            <w:tcW w:w="1426" w:type="dxa"/>
            <w:hideMark/>
          </w:tcPr>
          <w:p w14:paraId="7ED325C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644,54 </w:t>
            </w:r>
          </w:p>
        </w:tc>
        <w:tc>
          <w:tcPr>
            <w:tcW w:w="1426" w:type="dxa"/>
            <w:hideMark/>
          </w:tcPr>
          <w:p w14:paraId="055D99F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644,99 </w:t>
            </w:r>
          </w:p>
        </w:tc>
        <w:tc>
          <w:tcPr>
            <w:tcW w:w="1426" w:type="dxa"/>
            <w:hideMark/>
          </w:tcPr>
          <w:p w14:paraId="72E85BA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595,04 </w:t>
            </w:r>
          </w:p>
        </w:tc>
        <w:tc>
          <w:tcPr>
            <w:tcW w:w="1414" w:type="dxa"/>
            <w:hideMark/>
          </w:tcPr>
          <w:p w14:paraId="5710844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566,74 </w:t>
            </w:r>
          </w:p>
        </w:tc>
        <w:tc>
          <w:tcPr>
            <w:tcW w:w="1329" w:type="dxa"/>
            <w:hideMark/>
          </w:tcPr>
          <w:p w14:paraId="2FAFB8F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523,79 </w:t>
            </w:r>
          </w:p>
        </w:tc>
        <w:tc>
          <w:tcPr>
            <w:tcW w:w="1426" w:type="dxa"/>
            <w:hideMark/>
          </w:tcPr>
          <w:p w14:paraId="0357AA6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453,26 </w:t>
            </w:r>
          </w:p>
        </w:tc>
      </w:tr>
      <w:tr w:rsidR="008729F9" w:rsidRPr="008729F9" w14:paraId="00CD399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9B144CC"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Caesa</w:t>
            </w:r>
          </w:p>
        </w:tc>
        <w:tc>
          <w:tcPr>
            <w:tcW w:w="1426" w:type="dxa"/>
            <w:hideMark/>
          </w:tcPr>
          <w:p w14:paraId="00A9293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2.295,06 </w:t>
            </w:r>
          </w:p>
        </w:tc>
        <w:tc>
          <w:tcPr>
            <w:tcW w:w="1426" w:type="dxa"/>
            <w:hideMark/>
          </w:tcPr>
          <w:p w14:paraId="749FEEE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2.196,65 </w:t>
            </w:r>
          </w:p>
        </w:tc>
        <w:tc>
          <w:tcPr>
            <w:tcW w:w="1426" w:type="dxa"/>
            <w:hideMark/>
          </w:tcPr>
          <w:p w14:paraId="369D541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2.183,79 </w:t>
            </w:r>
          </w:p>
        </w:tc>
        <w:tc>
          <w:tcPr>
            <w:tcW w:w="1414" w:type="dxa"/>
            <w:hideMark/>
          </w:tcPr>
          <w:p w14:paraId="4CB0981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2.756,19 </w:t>
            </w:r>
          </w:p>
        </w:tc>
        <w:tc>
          <w:tcPr>
            <w:tcW w:w="1329" w:type="dxa"/>
            <w:hideMark/>
          </w:tcPr>
          <w:p w14:paraId="2DC806C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2.104,03 </w:t>
            </w:r>
          </w:p>
        </w:tc>
        <w:tc>
          <w:tcPr>
            <w:tcW w:w="1426" w:type="dxa"/>
            <w:hideMark/>
          </w:tcPr>
          <w:p w14:paraId="6DB9826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2.063,77 </w:t>
            </w:r>
          </w:p>
        </w:tc>
      </w:tr>
      <w:tr w:rsidR="008729F9" w:rsidRPr="008729F9" w14:paraId="6D5CF7E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C25F1F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Caesb</w:t>
            </w:r>
          </w:p>
        </w:tc>
        <w:tc>
          <w:tcPr>
            <w:tcW w:w="1426" w:type="dxa"/>
            <w:hideMark/>
          </w:tcPr>
          <w:p w14:paraId="36C1B5A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287,37 </w:t>
            </w:r>
          </w:p>
        </w:tc>
        <w:tc>
          <w:tcPr>
            <w:tcW w:w="1426" w:type="dxa"/>
            <w:hideMark/>
          </w:tcPr>
          <w:p w14:paraId="4063A4A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278,16 </w:t>
            </w:r>
          </w:p>
        </w:tc>
        <w:tc>
          <w:tcPr>
            <w:tcW w:w="1426" w:type="dxa"/>
            <w:hideMark/>
          </w:tcPr>
          <w:p w14:paraId="49B1AA8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261,46 </w:t>
            </w:r>
          </w:p>
        </w:tc>
        <w:tc>
          <w:tcPr>
            <w:tcW w:w="1414" w:type="dxa"/>
            <w:hideMark/>
          </w:tcPr>
          <w:p w14:paraId="3FE919C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314,16 </w:t>
            </w:r>
          </w:p>
        </w:tc>
        <w:tc>
          <w:tcPr>
            <w:tcW w:w="1329" w:type="dxa"/>
            <w:hideMark/>
          </w:tcPr>
          <w:p w14:paraId="6C8DA08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302,44 </w:t>
            </w:r>
          </w:p>
        </w:tc>
        <w:tc>
          <w:tcPr>
            <w:tcW w:w="1426" w:type="dxa"/>
            <w:hideMark/>
          </w:tcPr>
          <w:p w14:paraId="1053793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380,97 </w:t>
            </w:r>
          </w:p>
        </w:tc>
      </w:tr>
      <w:tr w:rsidR="008729F9" w:rsidRPr="008729F9" w14:paraId="2CFAAFE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29E83F4"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Cagece</w:t>
            </w:r>
          </w:p>
        </w:tc>
        <w:tc>
          <w:tcPr>
            <w:tcW w:w="1426" w:type="dxa"/>
            <w:hideMark/>
          </w:tcPr>
          <w:p w14:paraId="3638DC0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215,43 </w:t>
            </w:r>
          </w:p>
        </w:tc>
        <w:tc>
          <w:tcPr>
            <w:tcW w:w="1426" w:type="dxa"/>
            <w:hideMark/>
          </w:tcPr>
          <w:p w14:paraId="3E5D5E0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248,66 </w:t>
            </w:r>
          </w:p>
        </w:tc>
        <w:tc>
          <w:tcPr>
            <w:tcW w:w="1426" w:type="dxa"/>
            <w:hideMark/>
          </w:tcPr>
          <w:p w14:paraId="1EECB41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281,84 </w:t>
            </w:r>
          </w:p>
        </w:tc>
        <w:tc>
          <w:tcPr>
            <w:tcW w:w="1414" w:type="dxa"/>
            <w:hideMark/>
          </w:tcPr>
          <w:p w14:paraId="79C6B59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248,82 </w:t>
            </w:r>
          </w:p>
        </w:tc>
        <w:tc>
          <w:tcPr>
            <w:tcW w:w="1329" w:type="dxa"/>
            <w:hideMark/>
          </w:tcPr>
          <w:p w14:paraId="57325C9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283,51 </w:t>
            </w:r>
          </w:p>
        </w:tc>
        <w:tc>
          <w:tcPr>
            <w:tcW w:w="1426" w:type="dxa"/>
            <w:hideMark/>
          </w:tcPr>
          <w:p w14:paraId="4217FAB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280,76 </w:t>
            </w:r>
          </w:p>
        </w:tc>
      </w:tr>
      <w:tr w:rsidR="008729F9" w:rsidRPr="008729F9" w14:paraId="2B18085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83AEDD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Cagepa</w:t>
            </w:r>
          </w:p>
        </w:tc>
        <w:tc>
          <w:tcPr>
            <w:tcW w:w="1426" w:type="dxa"/>
            <w:hideMark/>
          </w:tcPr>
          <w:p w14:paraId="77C2F81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334,78 </w:t>
            </w:r>
          </w:p>
        </w:tc>
        <w:tc>
          <w:tcPr>
            <w:tcW w:w="1426" w:type="dxa"/>
            <w:hideMark/>
          </w:tcPr>
          <w:p w14:paraId="0DB38F6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363,45 </w:t>
            </w:r>
          </w:p>
        </w:tc>
        <w:tc>
          <w:tcPr>
            <w:tcW w:w="1426" w:type="dxa"/>
            <w:hideMark/>
          </w:tcPr>
          <w:p w14:paraId="3C91133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334,08 </w:t>
            </w:r>
          </w:p>
        </w:tc>
        <w:tc>
          <w:tcPr>
            <w:tcW w:w="1414" w:type="dxa"/>
            <w:hideMark/>
          </w:tcPr>
          <w:p w14:paraId="249A488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284,81 </w:t>
            </w:r>
          </w:p>
        </w:tc>
        <w:tc>
          <w:tcPr>
            <w:tcW w:w="1329" w:type="dxa"/>
            <w:hideMark/>
          </w:tcPr>
          <w:p w14:paraId="4DDCEA9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283,03 </w:t>
            </w:r>
          </w:p>
        </w:tc>
        <w:tc>
          <w:tcPr>
            <w:tcW w:w="1426" w:type="dxa"/>
            <w:hideMark/>
          </w:tcPr>
          <w:p w14:paraId="2F2149C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240,92 </w:t>
            </w:r>
          </w:p>
        </w:tc>
      </w:tr>
      <w:tr w:rsidR="008729F9" w:rsidRPr="008729F9" w14:paraId="5F2008C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405FD6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Casal</w:t>
            </w:r>
          </w:p>
        </w:tc>
        <w:tc>
          <w:tcPr>
            <w:tcW w:w="1426" w:type="dxa"/>
            <w:hideMark/>
          </w:tcPr>
          <w:p w14:paraId="04D6360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785,56 </w:t>
            </w:r>
          </w:p>
        </w:tc>
        <w:tc>
          <w:tcPr>
            <w:tcW w:w="1426" w:type="dxa"/>
            <w:hideMark/>
          </w:tcPr>
          <w:p w14:paraId="28E452F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748,08 </w:t>
            </w:r>
          </w:p>
        </w:tc>
        <w:tc>
          <w:tcPr>
            <w:tcW w:w="1426" w:type="dxa"/>
            <w:hideMark/>
          </w:tcPr>
          <w:p w14:paraId="5A4F70B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407,85 </w:t>
            </w:r>
          </w:p>
        </w:tc>
        <w:tc>
          <w:tcPr>
            <w:tcW w:w="1414" w:type="dxa"/>
            <w:hideMark/>
          </w:tcPr>
          <w:p w14:paraId="34A43C6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658,83 </w:t>
            </w:r>
          </w:p>
        </w:tc>
        <w:tc>
          <w:tcPr>
            <w:tcW w:w="1329" w:type="dxa"/>
            <w:hideMark/>
          </w:tcPr>
          <w:p w14:paraId="1BAD208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619,62 </w:t>
            </w:r>
          </w:p>
        </w:tc>
        <w:tc>
          <w:tcPr>
            <w:tcW w:w="1426" w:type="dxa"/>
            <w:hideMark/>
          </w:tcPr>
          <w:p w14:paraId="5BC63D0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665,54 </w:t>
            </w:r>
          </w:p>
        </w:tc>
      </w:tr>
      <w:tr w:rsidR="008729F9" w:rsidRPr="008729F9" w14:paraId="6DB865C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AFDFFA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Casan</w:t>
            </w:r>
          </w:p>
        </w:tc>
        <w:tc>
          <w:tcPr>
            <w:tcW w:w="1426" w:type="dxa"/>
            <w:hideMark/>
          </w:tcPr>
          <w:p w14:paraId="2D45947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287,13 </w:t>
            </w:r>
          </w:p>
        </w:tc>
        <w:tc>
          <w:tcPr>
            <w:tcW w:w="1426" w:type="dxa"/>
            <w:hideMark/>
          </w:tcPr>
          <w:p w14:paraId="615C86B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297,92 </w:t>
            </w:r>
          </w:p>
        </w:tc>
        <w:tc>
          <w:tcPr>
            <w:tcW w:w="1426" w:type="dxa"/>
            <w:hideMark/>
          </w:tcPr>
          <w:p w14:paraId="35AA231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330,18 </w:t>
            </w:r>
          </w:p>
        </w:tc>
        <w:tc>
          <w:tcPr>
            <w:tcW w:w="1414" w:type="dxa"/>
            <w:hideMark/>
          </w:tcPr>
          <w:p w14:paraId="5B1194DB"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325,71 </w:t>
            </w:r>
          </w:p>
        </w:tc>
        <w:tc>
          <w:tcPr>
            <w:tcW w:w="1329" w:type="dxa"/>
            <w:hideMark/>
          </w:tcPr>
          <w:p w14:paraId="4C886B6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363,37 </w:t>
            </w:r>
          </w:p>
        </w:tc>
        <w:tc>
          <w:tcPr>
            <w:tcW w:w="1426" w:type="dxa"/>
            <w:hideMark/>
          </w:tcPr>
          <w:p w14:paraId="288E149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341,78 </w:t>
            </w:r>
          </w:p>
        </w:tc>
      </w:tr>
      <w:tr w:rsidR="008729F9" w:rsidRPr="008729F9" w14:paraId="2E5A208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6247DD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Cedae</w:t>
            </w:r>
          </w:p>
        </w:tc>
        <w:tc>
          <w:tcPr>
            <w:tcW w:w="1426" w:type="dxa"/>
            <w:hideMark/>
          </w:tcPr>
          <w:p w14:paraId="50FCB47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715,09 </w:t>
            </w:r>
          </w:p>
        </w:tc>
        <w:tc>
          <w:tcPr>
            <w:tcW w:w="1426" w:type="dxa"/>
            <w:hideMark/>
          </w:tcPr>
          <w:p w14:paraId="09A5044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668,48 </w:t>
            </w:r>
          </w:p>
        </w:tc>
        <w:tc>
          <w:tcPr>
            <w:tcW w:w="1426" w:type="dxa"/>
            <w:hideMark/>
          </w:tcPr>
          <w:p w14:paraId="1AA16AE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651,63 </w:t>
            </w:r>
          </w:p>
        </w:tc>
        <w:tc>
          <w:tcPr>
            <w:tcW w:w="1414" w:type="dxa"/>
            <w:hideMark/>
          </w:tcPr>
          <w:p w14:paraId="3D8F4E0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659,57 </w:t>
            </w:r>
          </w:p>
        </w:tc>
        <w:tc>
          <w:tcPr>
            <w:tcW w:w="1329" w:type="dxa"/>
            <w:hideMark/>
          </w:tcPr>
          <w:p w14:paraId="3DB227A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658,36 </w:t>
            </w:r>
          </w:p>
        </w:tc>
        <w:tc>
          <w:tcPr>
            <w:tcW w:w="1426" w:type="dxa"/>
            <w:hideMark/>
          </w:tcPr>
          <w:p w14:paraId="76A8373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660,43 </w:t>
            </w:r>
          </w:p>
        </w:tc>
      </w:tr>
      <w:tr w:rsidR="008729F9" w:rsidRPr="008729F9" w14:paraId="6BB5793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29DB64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Cesan</w:t>
            </w:r>
          </w:p>
        </w:tc>
        <w:tc>
          <w:tcPr>
            <w:tcW w:w="1426" w:type="dxa"/>
            <w:hideMark/>
          </w:tcPr>
          <w:p w14:paraId="07668B3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460,85 </w:t>
            </w:r>
          </w:p>
        </w:tc>
        <w:tc>
          <w:tcPr>
            <w:tcW w:w="1426" w:type="dxa"/>
            <w:hideMark/>
          </w:tcPr>
          <w:p w14:paraId="03F7E3DA"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453,32 </w:t>
            </w:r>
          </w:p>
        </w:tc>
        <w:tc>
          <w:tcPr>
            <w:tcW w:w="1426" w:type="dxa"/>
            <w:hideMark/>
          </w:tcPr>
          <w:p w14:paraId="57ECC30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451,87 </w:t>
            </w:r>
          </w:p>
        </w:tc>
        <w:tc>
          <w:tcPr>
            <w:tcW w:w="1414" w:type="dxa"/>
            <w:hideMark/>
          </w:tcPr>
          <w:p w14:paraId="3102395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409,50 </w:t>
            </w:r>
          </w:p>
        </w:tc>
        <w:tc>
          <w:tcPr>
            <w:tcW w:w="1329" w:type="dxa"/>
            <w:hideMark/>
          </w:tcPr>
          <w:p w14:paraId="3D5F4E25"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406,77 </w:t>
            </w:r>
          </w:p>
        </w:tc>
        <w:tc>
          <w:tcPr>
            <w:tcW w:w="1426" w:type="dxa"/>
            <w:hideMark/>
          </w:tcPr>
          <w:p w14:paraId="0C45C57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406,54 </w:t>
            </w:r>
          </w:p>
        </w:tc>
      </w:tr>
      <w:tr w:rsidR="008729F9" w:rsidRPr="008729F9" w14:paraId="254EE7A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BF90189"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Compesa</w:t>
            </w:r>
          </w:p>
        </w:tc>
        <w:tc>
          <w:tcPr>
            <w:tcW w:w="1426" w:type="dxa"/>
            <w:hideMark/>
          </w:tcPr>
          <w:p w14:paraId="0ABCBFA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726,66 </w:t>
            </w:r>
          </w:p>
        </w:tc>
        <w:tc>
          <w:tcPr>
            <w:tcW w:w="1426" w:type="dxa"/>
            <w:hideMark/>
          </w:tcPr>
          <w:p w14:paraId="0611768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747,81 </w:t>
            </w:r>
          </w:p>
        </w:tc>
        <w:tc>
          <w:tcPr>
            <w:tcW w:w="1426" w:type="dxa"/>
            <w:hideMark/>
          </w:tcPr>
          <w:p w14:paraId="66FD2BD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480,03 </w:t>
            </w:r>
          </w:p>
        </w:tc>
        <w:tc>
          <w:tcPr>
            <w:tcW w:w="1414" w:type="dxa"/>
            <w:hideMark/>
          </w:tcPr>
          <w:p w14:paraId="1987377D"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443,07 </w:t>
            </w:r>
          </w:p>
        </w:tc>
        <w:tc>
          <w:tcPr>
            <w:tcW w:w="1329" w:type="dxa"/>
            <w:hideMark/>
          </w:tcPr>
          <w:p w14:paraId="7368773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416,78 </w:t>
            </w:r>
          </w:p>
        </w:tc>
        <w:tc>
          <w:tcPr>
            <w:tcW w:w="1426" w:type="dxa"/>
            <w:hideMark/>
          </w:tcPr>
          <w:p w14:paraId="09B2A41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381,88 </w:t>
            </w:r>
          </w:p>
        </w:tc>
      </w:tr>
      <w:tr w:rsidR="008729F9" w:rsidRPr="008729F9" w14:paraId="3475150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F19692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Copasa</w:t>
            </w:r>
          </w:p>
        </w:tc>
        <w:tc>
          <w:tcPr>
            <w:tcW w:w="1426" w:type="dxa"/>
            <w:hideMark/>
          </w:tcPr>
          <w:p w14:paraId="6CE2D5B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233,12 </w:t>
            </w:r>
          </w:p>
        </w:tc>
        <w:tc>
          <w:tcPr>
            <w:tcW w:w="1426" w:type="dxa"/>
            <w:hideMark/>
          </w:tcPr>
          <w:p w14:paraId="552D358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226,87 </w:t>
            </w:r>
          </w:p>
        </w:tc>
        <w:tc>
          <w:tcPr>
            <w:tcW w:w="1426" w:type="dxa"/>
            <w:hideMark/>
          </w:tcPr>
          <w:p w14:paraId="426A6AE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231,75 </w:t>
            </w:r>
          </w:p>
        </w:tc>
        <w:tc>
          <w:tcPr>
            <w:tcW w:w="1414" w:type="dxa"/>
            <w:hideMark/>
          </w:tcPr>
          <w:p w14:paraId="0794265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233,41 </w:t>
            </w:r>
          </w:p>
        </w:tc>
        <w:tc>
          <w:tcPr>
            <w:tcW w:w="1329" w:type="dxa"/>
            <w:hideMark/>
          </w:tcPr>
          <w:p w14:paraId="598FAC3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223,88 </w:t>
            </w:r>
          </w:p>
        </w:tc>
        <w:tc>
          <w:tcPr>
            <w:tcW w:w="1426" w:type="dxa"/>
            <w:hideMark/>
          </w:tcPr>
          <w:p w14:paraId="77CDFD2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214,08 </w:t>
            </w:r>
          </w:p>
        </w:tc>
      </w:tr>
      <w:tr w:rsidR="008729F9" w:rsidRPr="008729F9" w14:paraId="6AB79F1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AB4D4B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Corsan</w:t>
            </w:r>
          </w:p>
        </w:tc>
        <w:tc>
          <w:tcPr>
            <w:tcW w:w="1426" w:type="dxa"/>
            <w:hideMark/>
          </w:tcPr>
          <w:p w14:paraId="565106C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340,69 </w:t>
            </w:r>
          </w:p>
        </w:tc>
        <w:tc>
          <w:tcPr>
            <w:tcW w:w="1426" w:type="dxa"/>
            <w:hideMark/>
          </w:tcPr>
          <w:p w14:paraId="7D7F11F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339,42 </w:t>
            </w:r>
          </w:p>
        </w:tc>
        <w:tc>
          <w:tcPr>
            <w:tcW w:w="1426" w:type="dxa"/>
            <w:hideMark/>
          </w:tcPr>
          <w:p w14:paraId="0EE1C1C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356,29 </w:t>
            </w:r>
          </w:p>
        </w:tc>
        <w:tc>
          <w:tcPr>
            <w:tcW w:w="1414" w:type="dxa"/>
            <w:hideMark/>
          </w:tcPr>
          <w:p w14:paraId="05D37883"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349,43 </w:t>
            </w:r>
          </w:p>
        </w:tc>
        <w:tc>
          <w:tcPr>
            <w:tcW w:w="1329" w:type="dxa"/>
            <w:hideMark/>
          </w:tcPr>
          <w:p w14:paraId="1CC2FA2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284,13 </w:t>
            </w:r>
          </w:p>
        </w:tc>
        <w:tc>
          <w:tcPr>
            <w:tcW w:w="1426" w:type="dxa"/>
            <w:hideMark/>
          </w:tcPr>
          <w:p w14:paraId="7F04803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286,03 </w:t>
            </w:r>
          </w:p>
        </w:tc>
      </w:tr>
      <w:tr w:rsidR="008729F9" w:rsidRPr="008729F9" w14:paraId="64D541A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15EF86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Cosanpa</w:t>
            </w:r>
          </w:p>
        </w:tc>
        <w:tc>
          <w:tcPr>
            <w:tcW w:w="1426" w:type="dxa"/>
            <w:hideMark/>
          </w:tcPr>
          <w:p w14:paraId="536CEA2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488,42 </w:t>
            </w:r>
          </w:p>
        </w:tc>
        <w:tc>
          <w:tcPr>
            <w:tcW w:w="1426" w:type="dxa"/>
            <w:hideMark/>
          </w:tcPr>
          <w:p w14:paraId="145FA65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474,91 </w:t>
            </w:r>
          </w:p>
        </w:tc>
        <w:tc>
          <w:tcPr>
            <w:tcW w:w="1426" w:type="dxa"/>
            <w:hideMark/>
          </w:tcPr>
          <w:p w14:paraId="347E59F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501,40 </w:t>
            </w:r>
          </w:p>
        </w:tc>
        <w:tc>
          <w:tcPr>
            <w:tcW w:w="1414" w:type="dxa"/>
            <w:hideMark/>
          </w:tcPr>
          <w:p w14:paraId="6E4D1457"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506,03 </w:t>
            </w:r>
          </w:p>
        </w:tc>
        <w:tc>
          <w:tcPr>
            <w:tcW w:w="1329" w:type="dxa"/>
            <w:hideMark/>
          </w:tcPr>
          <w:p w14:paraId="1E124AB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491,70 </w:t>
            </w:r>
          </w:p>
        </w:tc>
        <w:tc>
          <w:tcPr>
            <w:tcW w:w="1426" w:type="dxa"/>
            <w:hideMark/>
          </w:tcPr>
          <w:p w14:paraId="3EC9F55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460,78 </w:t>
            </w:r>
          </w:p>
        </w:tc>
      </w:tr>
      <w:tr w:rsidR="008729F9" w:rsidRPr="008729F9" w14:paraId="3E67097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443741C"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Depasa</w:t>
            </w:r>
          </w:p>
        </w:tc>
        <w:tc>
          <w:tcPr>
            <w:tcW w:w="1426" w:type="dxa"/>
            <w:hideMark/>
          </w:tcPr>
          <w:p w14:paraId="0ACA3FF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813,85 </w:t>
            </w:r>
          </w:p>
        </w:tc>
        <w:tc>
          <w:tcPr>
            <w:tcW w:w="1426" w:type="dxa"/>
            <w:hideMark/>
          </w:tcPr>
          <w:p w14:paraId="0C04F93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863,13 </w:t>
            </w:r>
          </w:p>
        </w:tc>
        <w:tc>
          <w:tcPr>
            <w:tcW w:w="1426" w:type="dxa"/>
            <w:hideMark/>
          </w:tcPr>
          <w:p w14:paraId="35D990F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1.193,43 </w:t>
            </w:r>
          </w:p>
        </w:tc>
        <w:tc>
          <w:tcPr>
            <w:tcW w:w="1414" w:type="dxa"/>
            <w:hideMark/>
          </w:tcPr>
          <w:p w14:paraId="769A3ED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827,47 </w:t>
            </w:r>
          </w:p>
        </w:tc>
        <w:tc>
          <w:tcPr>
            <w:tcW w:w="1329" w:type="dxa"/>
            <w:hideMark/>
          </w:tcPr>
          <w:p w14:paraId="1669E7B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864,17 </w:t>
            </w:r>
          </w:p>
        </w:tc>
        <w:tc>
          <w:tcPr>
            <w:tcW w:w="1426" w:type="dxa"/>
            <w:hideMark/>
          </w:tcPr>
          <w:p w14:paraId="77EC46DA"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847,94 </w:t>
            </w:r>
          </w:p>
        </w:tc>
      </w:tr>
      <w:tr w:rsidR="008729F9" w:rsidRPr="008729F9" w14:paraId="2BC1DBA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1E1EB6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Deso</w:t>
            </w:r>
          </w:p>
        </w:tc>
        <w:tc>
          <w:tcPr>
            <w:tcW w:w="1426" w:type="dxa"/>
            <w:hideMark/>
          </w:tcPr>
          <w:p w14:paraId="231170F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626,82 </w:t>
            </w:r>
          </w:p>
        </w:tc>
        <w:tc>
          <w:tcPr>
            <w:tcW w:w="1426" w:type="dxa"/>
            <w:hideMark/>
          </w:tcPr>
          <w:p w14:paraId="6F28832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672,96 </w:t>
            </w:r>
          </w:p>
        </w:tc>
        <w:tc>
          <w:tcPr>
            <w:tcW w:w="1426" w:type="dxa"/>
            <w:hideMark/>
          </w:tcPr>
          <w:p w14:paraId="003D83C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645,04 </w:t>
            </w:r>
          </w:p>
        </w:tc>
        <w:tc>
          <w:tcPr>
            <w:tcW w:w="1414" w:type="dxa"/>
            <w:hideMark/>
          </w:tcPr>
          <w:p w14:paraId="52F5641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616,62 </w:t>
            </w:r>
          </w:p>
        </w:tc>
        <w:tc>
          <w:tcPr>
            <w:tcW w:w="1329" w:type="dxa"/>
            <w:hideMark/>
          </w:tcPr>
          <w:p w14:paraId="2B0E0820"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630,04 </w:t>
            </w:r>
          </w:p>
        </w:tc>
        <w:tc>
          <w:tcPr>
            <w:tcW w:w="1426" w:type="dxa"/>
            <w:hideMark/>
          </w:tcPr>
          <w:p w14:paraId="545A6AD9"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445,14 </w:t>
            </w:r>
          </w:p>
        </w:tc>
      </w:tr>
      <w:tr w:rsidR="008729F9" w:rsidRPr="008729F9" w14:paraId="1EA6E3A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71460D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Embasa</w:t>
            </w:r>
          </w:p>
        </w:tc>
        <w:tc>
          <w:tcPr>
            <w:tcW w:w="1426" w:type="dxa"/>
            <w:hideMark/>
          </w:tcPr>
          <w:p w14:paraId="73D3393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272,80 </w:t>
            </w:r>
          </w:p>
        </w:tc>
        <w:tc>
          <w:tcPr>
            <w:tcW w:w="1426" w:type="dxa"/>
            <w:hideMark/>
          </w:tcPr>
          <w:p w14:paraId="0948016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270,02 </w:t>
            </w:r>
          </w:p>
        </w:tc>
        <w:tc>
          <w:tcPr>
            <w:tcW w:w="1426" w:type="dxa"/>
            <w:hideMark/>
          </w:tcPr>
          <w:p w14:paraId="2A699179"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274,85 </w:t>
            </w:r>
          </w:p>
        </w:tc>
        <w:tc>
          <w:tcPr>
            <w:tcW w:w="1414" w:type="dxa"/>
            <w:hideMark/>
          </w:tcPr>
          <w:p w14:paraId="2EFEA16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317,90 </w:t>
            </w:r>
          </w:p>
        </w:tc>
        <w:tc>
          <w:tcPr>
            <w:tcW w:w="1329" w:type="dxa"/>
            <w:hideMark/>
          </w:tcPr>
          <w:p w14:paraId="7981D895"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288,60 </w:t>
            </w:r>
          </w:p>
        </w:tc>
        <w:tc>
          <w:tcPr>
            <w:tcW w:w="1426" w:type="dxa"/>
            <w:hideMark/>
          </w:tcPr>
          <w:p w14:paraId="055EBDE0"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264,57 </w:t>
            </w:r>
          </w:p>
        </w:tc>
      </w:tr>
      <w:tr w:rsidR="008729F9" w:rsidRPr="008729F9" w14:paraId="3326360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378A776"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Sabesp</w:t>
            </w:r>
          </w:p>
        </w:tc>
        <w:tc>
          <w:tcPr>
            <w:tcW w:w="1426" w:type="dxa"/>
            <w:hideMark/>
          </w:tcPr>
          <w:p w14:paraId="46BCFDE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403,28 </w:t>
            </w:r>
          </w:p>
        </w:tc>
        <w:tc>
          <w:tcPr>
            <w:tcW w:w="1426" w:type="dxa"/>
            <w:hideMark/>
          </w:tcPr>
          <w:p w14:paraId="5B65954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393,66 </w:t>
            </w:r>
          </w:p>
        </w:tc>
        <w:tc>
          <w:tcPr>
            <w:tcW w:w="1426" w:type="dxa"/>
            <w:hideMark/>
          </w:tcPr>
          <w:p w14:paraId="631CC97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384,53 </w:t>
            </w:r>
          </w:p>
        </w:tc>
        <w:tc>
          <w:tcPr>
            <w:tcW w:w="1414" w:type="dxa"/>
            <w:hideMark/>
          </w:tcPr>
          <w:p w14:paraId="626AB48C"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368,48 </w:t>
            </w:r>
          </w:p>
        </w:tc>
        <w:tc>
          <w:tcPr>
            <w:tcW w:w="1329" w:type="dxa"/>
            <w:hideMark/>
          </w:tcPr>
          <w:p w14:paraId="329D4D88"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315,04 </w:t>
            </w:r>
          </w:p>
        </w:tc>
        <w:tc>
          <w:tcPr>
            <w:tcW w:w="1426" w:type="dxa"/>
            <w:hideMark/>
          </w:tcPr>
          <w:p w14:paraId="57B418BF"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257,18 </w:t>
            </w:r>
          </w:p>
        </w:tc>
      </w:tr>
      <w:tr w:rsidR="008729F9" w:rsidRPr="008729F9" w14:paraId="0CFC1CF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BF3477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Saneago</w:t>
            </w:r>
          </w:p>
        </w:tc>
        <w:tc>
          <w:tcPr>
            <w:tcW w:w="1426" w:type="dxa"/>
            <w:hideMark/>
          </w:tcPr>
          <w:p w14:paraId="1F097E6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219,78 </w:t>
            </w:r>
          </w:p>
        </w:tc>
        <w:tc>
          <w:tcPr>
            <w:tcW w:w="1426" w:type="dxa"/>
            <w:hideMark/>
          </w:tcPr>
          <w:p w14:paraId="4A438EB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210,15 </w:t>
            </w:r>
          </w:p>
        </w:tc>
        <w:tc>
          <w:tcPr>
            <w:tcW w:w="1426" w:type="dxa"/>
            <w:hideMark/>
          </w:tcPr>
          <w:p w14:paraId="1CC6ACAB"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190,61 </w:t>
            </w:r>
          </w:p>
        </w:tc>
        <w:tc>
          <w:tcPr>
            <w:tcW w:w="1414" w:type="dxa"/>
            <w:hideMark/>
          </w:tcPr>
          <w:p w14:paraId="0CDAD9B7"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178,77 </w:t>
            </w:r>
          </w:p>
        </w:tc>
        <w:tc>
          <w:tcPr>
            <w:tcW w:w="1329" w:type="dxa"/>
            <w:hideMark/>
          </w:tcPr>
          <w:p w14:paraId="42DF00CC"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174,94 </w:t>
            </w:r>
          </w:p>
        </w:tc>
        <w:tc>
          <w:tcPr>
            <w:tcW w:w="1426" w:type="dxa"/>
            <w:hideMark/>
          </w:tcPr>
          <w:p w14:paraId="002E583F"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172,61 </w:t>
            </w:r>
          </w:p>
        </w:tc>
      </w:tr>
      <w:tr w:rsidR="008729F9" w:rsidRPr="008729F9" w14:paraId="145741A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EEFEC6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val="es-CO" w:eastAsia="es-CO"/>
              </w:rPr>
              <w:t>Saneatins</w:t>
            </w:r>
          </w:p>
        </w:tc>
        <w:tc>
          <w:tcPr>
            <w:tcW w:w="1426" w:type="dxa"/>
            <w:hideMark/>
          </w:tcPr>
          <w:p w14:paraId="154DD86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 xml:space="preserve">        207,09 </w:t>
            </w:r>
          </w:p>
        </w:tc>
        <w:tc>
          <w:tcPr>
            <w:tcW w:w="1426" w:type="dxa"/>
            <w:hideMark/>
          </w:tcPr>
          <w:p w14:paraId="66737E32"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 xml:space="preserve">        220,71 </w:t>
            </w:r>
          </w:p>
        </w:tc>
        <w:tc>
          <w:tcPr>
            <w:tcW w:w="1426" w:type="dxa"/>
            <w:hideMark/>
          </w:tcPr>
          <w:p w14:paraId="77BD2664"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 xml:space="preserve">        223,31 </w:t>
            </w:r>
          </w:p>
        </w:tc>
        <w:tc>
          <w:tcPr>
            <w:tcW w:w="1414" w:type="dxa"/>
            <w:hideMark/>
          </w:tcPr>
          <w:p w14:paraId="2E76CF8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 xml:space="preserve">        202,67 </w:t>
            </w:r>
          </w:p>
        </w:tc>
        <w:tc>
          <w:tcPr>
            <w:tcW w:w="1329" w:type="dxa"/>
            <w:hideMark/>
          </w:tcPr>
          <w:p w14:paraId="1F052C91"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 xml:space="preserve">        185,35 </w:t>
            </w:r>
          </w:p>
        </w:tc>
        <w:tc>
          <w:tcPr>
            <w:tcW w:w="1426" w:type="dxa"/>
            <w:hideMark/>
          </w:tcPr>
          <w:p w14:paraId="248B701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val="es-CO" w:eastAsia="es-CO"/>
              </w:rPr>
              <w:t xml:space="preserve">        247,58 </w:t>
            </w:r>
          </w:p>
        </w:tc>
      </w:tr>
      <w:tr w:rsidR="008729F9" w:rsidRPr="008729F9" w14:paraId="70A6181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27D5DD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Sanepar</w:t>
            </w:r>
          </w:p>
        </w:tc>
        <w:tc>
          <w:tcPr>
            <w:tcW w:w="1426" w:type="dxa"/>
            <w:hideMark/>
          </w:tcPr>
          <w:p w14:paraId="4E868661"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225,57 </w:t>
            </w:r>
          </w:p>
        </w:tc>
        <w:tc>
          <w:tcPr>
            <w:tcW w:w="1426" w:type="dxa"/>
            <w:hideMark/>
          </w:tcPr>
          <w:p w14:paraId="19DE1FC4"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233,23 </w:t>
            </w:r>
          </w:p>
        </w:tc>
        <w:tc>
          <w:tcPr>
            <w:tcW w:w="1426" w:type="dxa"/>
            <w:hideMark/>
          </w:tcPr>
          <w:p w14:paraId="7975649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236,34 </w:t>
            </w:r>
          </w:p>
        </w:tc>
        <w:tc>
          <w:tcPr>
            <w:tcW w:w="1414" w:type="dxa"/>
            <w:hideMark/>
          </w:tcPr>
          <w:p w14:paraId="27A0CC26"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233,36 </w:t>
            </w:r>
          </w:p>
        </w:tc>
        <w:tc>
          <w:tcPr>
            <w:tcW w:w="1329" w:type="dxa"/>
            <w:hideMark/>
          </w:tcPr>
          <w:p w14:paraId="5EC498CE"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225,64 </w:t>
            </w:r>
          </w:p>
        </w:tc>
        <w:tc>
          <w:tcPr>
            <w:tcW w:w="1426" w:type="dxa"/>
            <w:hideMark/>
          </w:tcPr>
          <w:p w14:paraId="37271038" w14:textId="77777777" w:rsidR="008729F9" w:rsidRPr="008729F9" w:rsidRDefault="008729F9" w:rsidP="008729F9">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8729F9">
              <w:rPr>
                <w:color w:val="000000"/>
                <w:sz w:val="22"/>
                <w:lang w:eastAsia="es-CO"/>
              </w:rPr>
              <w:t xml:space="preserve">        225,24 </w:t>
            </w:r>
          </w:p>
        </w:tc>
      </w:tr>
      <w:tr w:rsidR="008729F9" w:rsidRPr="008729F9" w14:paraId="07D855C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EF661AD"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Sanesul</w:t>
            </w:r>
          </w:p>
        </w:tc>
        <w:tc>
          <w:tcPr>
            <w:tcW w:w="1426" w:type="dxa"/>
            <w:hideMark/>
          </w:tcPr>
          <w:p w14:paraId="3D0DFC7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248,01 </w:t>
            </w:r>
          </w:p>
        </w:tc>
        <w:tc>
          <w:tcPr>
            <w:tcW w:w="1426" w:type="dxa"/>
            <w:hideMark/>
          </w:tcPr>
          <w:p w14:paraId="5C9C550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253,62 </w:t>
            </w:r>
          </w:p>
        </w:tc>
        <w:tc>
          <w:tcPr>
            <w:tcW w:w="1426" w:type="dxa"/>
            <w:hideMark/>
          </w:tcPr>
          <w:p w14:paraId="7476AC8E"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258,30 </w:t>
            </w:r>
          </w:p>
        </w:tc>
        <w:tc>
          <w:tcPr>
            <w:tcW w:w="1414" w:type="dxa"/>
            <w:hideMark/>
          </w:tcPr>
          <w:p w14:paraId="07C6BA93"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253,10 </w:t>
            </w:r>
          </w:p>
        </w:tc>
        <w:tc>
          <w:tcPr>
            <w:tcW w:w="1329" w:type="dxa"/>
            <w:hideMark/>
          </w:tcPr>
          <w:p w14:paraId="6DF05DF6"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253,64 </w:t>
            </w:r>
          </w:p>
        </w:tc>
        <w:tc>
          <w:tcPr>
            <w:tcW w:w="1426" w:type="dxa"/>
            <w:hideMark/>
          </w:tcPr>
          <w:p w14:paraId="395187ED" w14:textId="77777777" w:rsidR="008729F9" w:rsidRPr="008729F9" w:rsidRDefault="008729F9" w:rsidP="008729F9">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8729F9">
              <w:rPr>
                <w:color w:val="000000"/>
                <w:sz w:val="22"/>
                <w:lang w:eastAsia="es-CO"/>
              </w:rPr>
              <w:t xml:space="preserve">        243,18 </w:t>
            </w:r>
          </w:p>
        </w:tc>
      </w:tr>
    </w:tbl>
    <w:p w14:paraId="382BC94E" w14:textId="73C3031F" w:rsidR="00A44F24" w:rsidRPr="00042F25" w:rsidRDefault="00A30FCF" w:rsidP="005A75BF">
      <w:pPr>
        <w:pStyle w:val="Descripcin"/>
        <w:spacing w:before="0" w:beforeAutospacing="0"/>
        <w:jc w:val="left"/>
        <w:rPr>
          <w:sz w:val="20"/>
        </w:rPr>
      </w:pPr>
      <w:r w:rsidRPr="00042F25">
        <w:rPr>
          <w:sz w:val="20"/>
        </w:rPr>
        <w:t>Fonte: SNIS 201</w:t>
      </w:r>
      <w:r w:rsidR="005A75BF" w:rsidRPr="00042F25">
        <w:rPr>
          <w:sz w:val="20"/>
        </w:rPr>
        <w:t>5. Elaborado por: GO Associados</w:t>
      </w:r>
    </w:p>
    <w:p w14:paraId="4B72DD48" w14:textId="77777777" w:rsidR="007E4835" w:rsidRPr="00042F25" w:rsidRDefault="007E4835" w:rsidP="007E4835"/>
    <w:p w14:paraId="6EC80E84" w14:textId="0118F80F" w:rsidR="00146208" w:rsidRPr="00042F25" w:rsidRDefault="00146208" w:rsidP="00146208">
      <w:pPr>
        <w:pStyle w:val="Ttulo1"/>
      </w:pPr>
      <w:bookmarkStart w:id="41" w:name="_Toc493094931"/>
      <w:r w:rsidRPr="00042F25">
        <w:lastRenderedPageBreak/>
        <w:t>Eficiência de Gestão Corporativa</w:t>
      </w:r>
      <w:bookmarkEnd w:id="41"/>
    </w:p>
    <w:p w14:paraId="17FF2620" w14:textId="3EF320F6" w:rsidR="008708FA" w:rsidRPr="006C2033" w:rsidRDefault="005A75BF" w:rsidP="005A75BF">
      <w:pPr>
        <w:rPr>
          <w:color w:val="FF0000"/>
        </w:rPr>
      </w:pPr>
      <w:r w:rsidRPr="00042F25">
        <w:t xml:space="preserve">O objetivo desta Seção é mostrar os índices de eficiência de gestão corporativa. A </w:t>
      </w:r>
      <w:r w:rsidR="00042F25">
        <w:t>subseção</w:t>
      </w:r>
      <w:r w:rsidRPr="00042F25">
        <w:t xml:space="preserve"> 6.1 analisa </w:t>
      </w:r>
      <w:r w:rsidR="005968D0" w:rsidRPr="00042F25">
        <w:t>o</w:t>
      </w:r>
      <w:r w:rsidR="008708FA" w:rsidRPr="00042F25">
        <w:t xml:space="preserve"> índice de despesa total com os serviços por m</w:t>
      </w:r>
      <w:r w:rsidR="008708FA" w:rsidRPr="00042F25">
        <w:rPr>
          <w:vertAlign w:val="superscript"/>
        </w:rPr>
        <w:t>3</w:t>
      </w:r>
      <w:r w:rsidR="008708FA" w:rsidRPr="00042F25">
        <w:t xml:space="preserve"> faturado (IN003), a </w:t>
      </w:r>
      <w:r w:rsidR="00042F25">
        <w:t>subseção</w:t>
      </w:r>
      <w:r w:rsidR="008708FA" w:rsidRPr="00042F25">
        <w:t xml:space="preserve"> 6.2 explora</w:t>
      </w:r>
      <w:r w:rsidR="009E193B" w:rsidRPr="00042F25">
        <w:t xml:space="preserve"> o</w:t>
      </w:r>
      <w:r w:rsidR="007A5B13">
        <w:t xml:space="preserve"> margem operacional sem depreciação</w:t>
      </w:r>
      <w:r w:rsidR="009E193B" w:rsidRPr="00042F25">
        <w:t xml:space="preserve">, a </w:t>
      </w:r>
      <w:r w:rsidR="00042F25">
        <w:t>subseção</w:t>
      </w:r>
      <w:r w:rsidR="009E193B" w:rsidRPr="00042F25">
        <w:t xml:space="preserve"> 6.3 </w:t>
      </w:r>
      <w:r w:rsidR="009679B4" w:rsidRPr="00042F25">
        <w:t>examina</w:t>
      </w:r>
      <w:r w:rsidR="005968D0" w:rsidRPr="00042F25">
        <w:t xml:space="preserve"> a evasão de receitas</w:t>
      </w:r>
      <w:r w:rsidR="009E193B" w:rsidRPr="00042F25">
        <w:t xml:space="preserve">, a </w:t>
      </w:r>
      <w:r w:rsidR="00042F25">
        <w:t>subseção</w:t>
      </w:r>
      <w:r w:rsidR="009E193B" w:rsidRPr="00042F25">
        <w:t xml:space="preserve"> 6.4</w:t>
      </w:r>
      <w:r w:rsidR="009679B4" w:rsidRPr="00042F25">
        <w:t xml:space="preserve"> averigua</w:t>
      </w:r>
      <w:r w:rsidR="005968D0" w:rsidRPr="00042F25">
        <w:t xml:space="preserve"> a liquidez </w:t>
      </w:r>
      <w:r w:rsidR="007A5B13">
        <w:t>corrente</w:t>
      </w:r>
      <w:r w:rsidR="009E193B" w:rsidRPr="00042F25">
        <w:t xml:space="preserve">, a </w:t>
      </w:r>
      <w:r w:rsidR="00042F25">
        <w:t>subseção</w:t>
      </w:r>
      <w:r w:rsidR="009E193B" w:rsidRPr="00042F25">
        <w:t xml:space="preserve"> 6.5</w:t>
      </w:r>
      <w:r w:rsidR="009679B4" w:rsidRPr="00042F25">
        <w:t xml:space="preserve"> </w:t>
      </w:r>
      <w:r w:rsidR="005968D0" w:rsidRPr="00042F25">
        <w:t>mostra o grau de endividamento</w:t>
      </w:r>
      <w:r w:rsidR="009E193B" w:rsidRPr="00042F25">
        <w:t xml:space="preserve"> e a </w:t>
      </w:r>
      <w:r w:rsidR="00042F25">
        <w:t>subseção</w:t>
      </w:r>
      <w:r w:rsidR="009E193B" w:rsidRPr="00042F25">
        <w:t xml:space="preserve"> 6.6</w:t>
      </w:r>
      <w:r w:rsidR="009679B4" w:rsidRPr="00042F25">
        <w:t xml:space="preserve"> estuda</w:t>
      </w:r>
      <w:r w:rsidR="005968D0" w:rsidRPr="00042F25">
        <w:t xml:space="preserve"> a suficiência de caixa</w:t>
      </w:r>
      <w:r w:rsidR="009E193B" w:rsidRPr="00042F25">
        <w:t>.</w:t>
      </w:r>
    </w:p>
    <w:p w14:paraId="5CAD9185" w14:textId="3EED5585" w:rsidR="005A75BF" w:rsidRPr="00042F25" w:rsidRDefault="005A75BF" w:rsidP="005A75BF">
      <w:r w:rsidRPr="00042F25">
        <w:t xml:space="preserve">Em 2015 ao resumir os </w:t>
      </w:r>
      <w:r w:rsidR="00BC15A7" w:rsidRPr="00042F25">
        <w:t>dados dos índices de eficiência</w:t>
      </w:r>
      <w:r w:rsidRPr="00042F25">
        <w:t xml:space="preserve"> </w:t>
      </w:r>
      <w:r w:rsidR="00BC15A7" w:rsidRPr="00042F25">
        <w:t>de gestão corporativa</w:t>
      </w:r>
      <w:r w:rsidRPr="00042F25">
        <w:t xml:space="preserve"> </w:t>
      </w:r>
      <w:r w:rsidR="007A5B13">
        <w:t>destaca-se o desempenho da CESAN</w:t>
      </w:r>
      <w:r w:rsidR="00CD3146">
        <w:t xml:space="preserve"> e SABESP e</w:t>
      </w:r>
      <w:r w:rsidR="00EF2A93" w:rsidRPr="00042F25">
        <w:t xml:space="preserve"> de modo geral</w:t>
      </w:r>
      <w:r w:rsidRPr="00042F25">
        <w:t xml:space="preserve"> e </w:t>
      </w:r>
      <w:r w:rsidR="00D11793" w:rsidRPr="00042F25">
        <w:t>C</w:t>
      </w:r>
      <w:r w:rsidR="00CD3146">
        <w:t>AER</w:t>
      </w:r>
      <w:r w:rsidR="00D11793" w:rsidRPr="00042F25">
        <w:t xml:space="preserve">, </w:t>
      </w:r>
      <w:r w:rsidRPr="00042F25">
        <w:t>C</w:t>
      </w:r>
      <w:r w:rsidR="00CD3146">
        <w:t>AERD e CAESA</w:t>
      </w:r>
      <w:r w:rsidR="00D11793" w:rsidRPr="00042F25">
        <w:t xml:space="preserve"> são a</w:t>
      </w:r>
      <w:r w:rsidRPr="00042F25">
        <w:t>s piores.</w:t>
      </w:r>
    </w:p>
    <w:p w14:paraId="7408555F" w14:textId="5791BD97" w:rsidR="008729F9" w:rsidRDefault="00C85322" w:rsidP="00272793">
      <w:pPr>
        <w:pStyle w:val="Descripcin"/>
      </w:pPr>
      <w:bookmarkStart w:id="42" w:name="_Toc493222486"/>
      <w:r w:rsidRPr="00042F25">
        <w:t xml:space="preserve">Quadro </w:t>
      </w:r>
      <w:fldSimple w:instr=" SEQ Quadro \* ARABIC ">
        <w:r w:rsidR="00B64D1C" w:rsidRPr="00042F25">
          <w:rPr>
            <w:noProof/>
          </w:rPr>
          <w:t>23</w:t>
        </w:r>
      </w:fldSimple>
      <w:r w:rsidRPr="00042F25">
        <w:t xml:space="preserve"> – Ranking Índices de Eficiência de Gestão Corporativa 2015</w:t>
      </w:r>
      <w:bookmarkEnd w:id="42"/>
    </w:p>
    <w:tbl>
      <w:tblPr>
        <w:tblW w:w="8680" w:type="dxa"/>
        <w:jc w:val="center"/>
        <w:tblCellMar>
          <w:left w:w="70" w:type="dxa"/>
          <w:right w:w="70" w:type="dxa"/>
        </w:tblCellMar>
        <w:tblLook w:val="04A0" w:firstRow="1" w:lastRow="0" w:firstColumn="1" w:lastColumn="0" w:noHBand="0" w:noVBand="1"/>
      </w:tblPr>
      <w:tblGrid>
        <w:gridCol w:w="1175"/>
        <w:gridCol w:w="1169"/>
        <w:gridCol w:w="1265"/>
        <w:gridCol w:w="1144"/>
        <w:gridCol w:w="1172"/>
        <w:gridCol w:w="1534"/>
        <w:gridCol w:w="1221"/>
      </w:tblGrid>
      <w:tr w:rsidR="008729F9" w:rsidRPr="008729F9" w14:paraId="1728FA61" w14:textId="77777777" w:rsidTr="00EA348F">
        <w:trPr>
          <w:trHeight w:val="312"/>
          <w:jc w:val="center"/>
        </w:trPr>
        <w:tc>
          <w:tcPr>
            <w:tcW w:w="1175" w:type="dxa"/>
            <w:vMerge w:val="restart"/>
            <w:tcBorders>
              <w:top w:val="single" w:sz="8" w:space="0" w:color="549E39"/>
              <w:left w:val="single" w:sz="8" w:space="0" w:color="549E39"/>
              <w:bottom w:val="single" w:sz="8" w:space="0" w:color="549E39"/>
              <w:right w:val="nil"/>
            </w:tcBorders>
            <w:shd w:val="clear" w:color="000000" w:fill="549E39"/>
            <w:vAlign w:val="center"/>
            <w:hideMark/>
          </w:tcPr>
          <w:p w14:paraId="3160F069"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 xml:space="preserve">Empresa </w:t>
            </w:r>
          </w:p>
        </w:tc>
        <w:tc>
          <w:tcPr>
            <w:tcW w:w="1169" w:type="dxa"/>
            <w:tcBorders>
              <w:top w:val="single" w:sz="8" w:space="0" w:color="549E39"/>
              <w:left w:val="nil"/>
              <w:bottom w:val="nil"/>
              <w:right w:val="nil"/>
            </w:tcBorders>
            <w:shd w:val="clear" w:color="000000" w:fill="549E39"/>
            <w:vAlign w:val="center"/>
            <w:hideMark/>
          </w:tcPr>
          <w:p w14:paraId="6EF3A96F"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IN003</w:t>
            </w:r>
          </w:p>
        </w:tc>
        <w:tc>
          <w:tcPr>
            <w:tcW w:w="1265" w:type="dxa"/>
            <w:tcBorders>
              <w:top w:val="single" w:sz="8" w:space="0" w:color="549E39"/>
              <w:left w:val="nil"/>
              <w:bottom w:val="nil"/>
              <w:right w:val="nil"/>
            </w:tcBorders>
            <w:shd w:val="clear" w:color="000000" w:fill="549E39"/>
            <w:vAlign w:val="center"/>
            <w:hideMark/>
          </w:tcPr>
          <w:p w14:paraId="14B7F77F"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IN068</w:t>
            </w:r>
          </w:p>
        </w:tc>
        <w:tc>
          <w:tcPr>
            <w:tcW w:w="1144" w:type="dxa"/>
            <w:tcBorders>
              <w:top w:val="single" w:sz="8" w:space="0" w:color="549E39"/>
              <w:left w:val="nil"/>
              <w:bottom w:val="nil"/>
              <w:right w:val="nil"/>
            </w:tcBorders>
            <w:shd w:val="clear" w:color="000000" w:fill="549E39"/>
            <w:vAlign w:val="center"/>
            <w:hideMark/>
          </w:tcPr>
          <w:p w14:paraId="709E7376"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 xml:space="preserve">IN029 </w:t>
            </w:r>
          </w:p>
        </w:tc>
        <w:tc>
          <w:tcPr>
            <w:tcW w:w="1172" w:type="dxa"/>
            <w:tcBorders>
              <w:top w:val="single" w:sz="8" w:space="0" w:color="549E39"/>
              <w:left w:val="nil"/>
              <w:bottom w:val="nil"/>
              <w:right w:val="nil"/>
            </w:tcBorders>
            <w:shd w:val="clear" w:color="000000" w:fill="549E39"/>
            <w:vAlign w:val="center"/>
            <w:hideMark/>
          </w:tcPr>
          <w:p w14:paraId="09C07C24"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IN061</w:t>
            </w:r>
          </w:p>
        </w:tc>
        <w:tc>
          <w:tcPr>
            <w:tcW w:w="1534" w:type="dxa"/>
            <w:tcBorders>
              <w:top w:val="single" w:sz="8" w:space="0" w:color="549E39"/>
              <w:left w:val="nil"/>
              <w:bottom w:val="nil"/>
              <w:right w:val="nil"/>
            </w:tcBorders>
            <w:shd w:val="clear" w:color="000000" w:fill="549E39"/>
            <w:vAlign w:val="center"/>
            <w:hideMark/>
          </w:tcPr>
          <w:p w14:paraId="386737BC"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IN063</w:t>
            </w:r>
          </w:p>
        </w:tc>
        <w:tc>
          <w:tcPr>
            <w:tcW w:w="1221" w:type="dxa"/>
            <w:tcBorders>
              <w:top w:val="single" w:sz="8" w:space="0" w:color="549E39"/>
              <w:left w:val="nil"/>
              <w:bottom w:val="nil"/>
              <w:right w:val="single" w:sz="8" w:space="0" w:color="549E39"/>
            </w:tcBorders>
            <w:shd w:val="clear" w:color="000000" w:fill="549E39"/>
            <w:vAlign w:val="center"/>
            <w:hideMark/>
          </w:tcPr>
          <w:p w14:paraId="6AD20C26"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IN101</w:t>
            </w:r>
          </w:p>
        </w:tc>
      </w:tr>
      <w:tr w:rsidR="008729F9" w:rsidRPr="008729F9" w14:paraId="21FD98F2" w14:textId="77777777" w:rsidTr="00EA348F">
        <w:trPr>
          <w:trHeight w:val="1272"/>
          <w:jc w:val="center"/>
        </w:trPr>
        <w:tc>
          <w:tcPr>
            <w:tcW w:w="1175" w:type="dxa"/>
            <w:vMerge/>
            <w:tcBorders>
              <w:top w:val="single" w:sz="8" w:space="0" w:color="549E39"/>
              <w:left w:val="single" w:sz="8" w:space="0" w:color="549E39"/>
              <w:bottom w:val="single" w:sz="8" w:space="0" w:color="549E39"/>
              <w:right w:val="nil"/>
            </w:tcBorders>
            <w:vAlign w:val="center"/>
            <w:hideMark/>
          </w:tcPr>
          <w:p w14:paraId="1A1A165C" w14:textId="77777777" w:rsidR="008729F9" w:rsidRPr="008729F9" w:rsidRDefault="008729F9" w:rsidP="008729F9">
            <w:pPr>
              <w:spacing w:before="0" w:beforeAutospacing="0" w:after="0" w:afterAutospacing="0" w:line="240" w:lineRule="auto"/>
              <w:ind w:firstLine="0"/>
              <w:jc w:val="left"/>
              <w:rPr>
                <w:b/>
                <w:bCs/>
                <w:color w:val="FFFFFF"/>
                <w:sz w:val="22"/>
                <w:lang w:val="es-CO" w:eastAsia="es-CO"/>
              </w:rPr>
            </w:pPr>
          </w:p>
        </w:tc>
        <w:tc>
          <w:tcPr>
            <w:tcW w:w="1169" w:type="dxa"/>
            <w:tcBorders>
              <w:top w:val="nil"/>
              <w:left w:val="nil"/>
              <w:bottom w:val="single" w:sz="8" w:space="0" w:color="549E39"/>
              <w:right w:val="nil"/>
            </w:tcBorders>
            <w:shd w:val="clear" w:color="000000" w:fill="549E39"/>
            <w:vAlign w:val="center"/>
            <w:hideMark/>
          </w:tcPr>
          <w:p w14:paraId="75D886F5" w14:textId="77777777" w:rsidR="008729F9" w:rsidRPr="00EA348F" w:rsidRDefault="008729F9" w:rsidP="008729F9">
            <w:pPr>
              <w:spacing w:before="0" w:beforeAutospacing="0" w:after="0" w:afterAutospacing="0" w:line="240" w:lineRule="auto"/>
              <w:ind w:firstLine="0"/>
              <w:jc w:val="center"/>
              <w:rPr>
                <w:b/>
                <w:bCs/>
                <w:color w:val="FFFFFF"/>
                <w:sz w:val="22"/>
                <w:lang w:eastAsia="es-CO"/>
              </w:rPr>
            </w:pPr>
            <w:r w:rsidRPr="008729F9">
              <w:rPr>
                <w:b/>
                <w:bCs/>
                <w:color w:val="FFFFFF"/>
                <w:sz w:val="22"/>
                <w:lang w:eastAsia="es-CO"/>
              </w:rPr>
              <w:t>Despesa total com os serviços por m</w:t>
            </w:r>
            <w:r w:rsidRPr="008729F9">
              <w:rPr>
                <w:b/>
                <w:bCs/>
                <w:color w:val="FFFFFF"/>
                <w:sz w:val="22"/>
                <w:vertAlign w:val="superscript"/>
                <w:lang w:eastAsia="es-CO"/>
              </w:rPr>
              <w:t>3</w:t>
            </w:r>
            <w:r w:rsidRPr="008729F9">
              <w:rPr>
                <w:b/>
                <w:bCs/>
                <w:color w:val="FFFFFF"/>
                <w:sz w:val="22"/>
                <w:lang w:eastAsia="es-CO"/>
              </w:rPr>
              <w:t xml:space="preserve"> faturado</w:t>
            </w:r>
          </w:p>
        </w:tc>
        <w:tc>
          <w:tcPr>
            <w:tcW w:w="1265" w:type="dxa"/>
            <w:tcBorders>
              <w:top w:val="nil"/>
              <w:left w:val="nil"/>
              <w:bottom w:val="single" w:sz="8" w:space="0" w:color="549E39"/>
              <w:right w:val="nil"/>
            </w:tcBorders>
            <w:shd w:val="clear" w:color="000000" w:fill="549E39"/>
            <w:vAlign w:val="center"/>
            <w:hideMark/>
          </w:tcPr>
          <w:p w14:paraId="0EBE6669"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Margem operacional sem depreciação</w:t>
            </w:r>
          </w:p>
        </w:tc>
        <w:tc>
          <w:tcPr>
            <w:tcW w:w="1144" w:type="dxa"/>
            <w:tcBorders>
              <w:top w:val="nil"/>
              <w:left w:val="nil"/>
              <w:bottom w:val="single" w:sz="8" w:space="0" w:color="549E39"/>
              <w:right w:val="nil"/>
            </w:tcBorders>
            <w:shd w:val="clear" w:color="000000" w:fill="549E39"/>
            <w:vAlign w:val="center"/>
            <w:hideMark/>
          </w:tcPr>
          <w:p w14:paraId="396B71EF"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Evasão de receitas</w:t>
            </w:r>
          </w:p>
        </w:tc>
        <w:tc>
          <w:tcPr>
            <w:tcW w:w="1172" w:type="dxa"/>
            <w:tcBorders>
              <w:top w:val="nil"/>
              <w:left w:val="nil"/>
              <w:bottom w:val="single" w:sz="8" w:space="0" w:color="549E39"/>
              <w:right w:val="nil"/>
            </w:tcBorders>
            <w:shd w:val="clear" w:color="000000" w:fill="549E39"/>
            <w:vAlign w:val="center"/>
            <w:hideMark/>
          </w:tcPr>
          <w:p w14:paraId="69FEA29B"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 xml:space="preserve">Liquidez corrente </w:t>
            </w:r>
          </w:p>
        </w:tc>
        <w:tc>
          <w:tcPr>
            <w:tcW w:w="1534" w:type="dxa"/>
            <w:tcBorders>
              <w:top w:val="nil"/>
              <w:left w:val="nil"/>
              <w:bottom w:val="single" w:sz="8" w:space="0" w:color="549E39"/>
              <w:right w:val="nil"/>
            </w:tcBorders>
            <w:shd w:val="clear" w:color="000000" w:fill="549E39"/>
            <w:vAlign w:val="center"/>
            <w:hideMark/>
          </w:tcPr>
          <w:p w14:paraId="68B10AC5"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 xml:space="preserve">Grau de endividamento </w:t>
            </w:r>
          </w:p>
        </w:tc>
        <w:tc>
          <w:tcPr>
            <w:tcW w:w="1221" w:type="dxa"/>
            <w:tcBorders>
              <w:top w:val="nil"/>
              <w:left w:val="nil"/>
              <w:bottom w:val="single" w:sz="8" w:space="0" w:color="549E39"/>
              <w:right w:val="single" w:sz="8" w:space="0" w:color="549E39"/>
            </w:tcBorders>
            <w:shd w:val="clear" w:color="000000" w:fill="549E39"/>
            <w:vAlign w:val="center"/>
            <w:hideMark/>
          </w:tcPr>
          <w:p w14:paraId="6AF70812" w14:textId="77777777" w:rsidR="008729F9" w:rsidRPr="008729F9" w:rsidRDefault="008729F9" w:rsidP="008729F9">
            <w:pPr>
              <w:spacing w:before="0" w:beforeAutospacing="0" w:after="0" w:afterAutospacing="0" w:line="240" w:lineRule="auto"/>
              <w:ind w:firstLine="0"/>
              <w:jc w:val="center"/>
              <w:rPr>
                <w:b/>
                <w:bCs/>
                <w:color w:val="FFFFFF"/>
                <w:sz w:val="22"/>
                <w:lang w:val="es-CO" w:eastAsia="es-CO"/>
              </w:rPr>
            </w:pPr>
            <w:r w:rsidRPr="008729F9">
              <w:rPr>
                <w:b/>
                <w:bCs/>
                <w:color w:val="FFFFFF"/>
                <w:sz w:val="22"/>
                <w:lang w:eastAsia="es-CO"/>
              </w:rPr>
              <w:t xml:space="preserve"> Suficiência de caixa</w:t>
            </w:r>
          </w:p>
        </w:tc>
      </w:tr>
      <w:tr w:rsidR="008729F9" w:rsidRPr="008729F9" w14:paraId="198187B2"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18E13FE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Agespisa</w:t>
            </w:r>
          </w:p>
        </w:tc>
        <w:tc>
          <w:tcPr>
            <w:tcW w:w="1169" w:type="dxa"/>
            <w:tcBorders>
              <w:top w:val="nil"/>
              <w:left w:val="nil"/>
              <w:bottom w:val="single" w:sz="12" w:space="0" w:color="339966"/>
              <w:right w:val="nil"/>
            </w:tcBorders>
            <w:shd w:val="clear" w:color="000000" w:fill="FFFF00"/>
            <w:vAlign w:val="center"/>
            <w:hideMark/>
          </w:tcPr>
          <w:p w14:paraId="145C448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3,43 </w:t>
            </w:r>
          </w:p>
        </w:tc>
        <w:tc>
          <w:tcPr>
            <w:tcW w:w="1265" w:type="dxa"/>
            <w:tcBorders>
              <w:top w:val="nil"/>
              <w:left w:val="nil"/>
              <w:bottom w:val="single" w:sz="12" w:space="0" w:color="339966"/>
              <w:right w:val="nil"/>
            </w:tcBorders>
            <w:shd w:val="clear" w:color="000000" w:fill="FF0000"/>
            <w:vAlign w:val="center"/>
            <w:hideMark/>
          </w:tcPr>
          <w:p w14:paraId="32BE965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-4,61%</w:t>
            </w:r>
          </w:p>
        </w:tc>
        <w:tc>
          <w:tcPr>
            <w:tcW w:w="1144" w:type="dxa"/>
            <w:tcBorders>
              <w:top w:val="nil"/>
              <w:left w:val="nil"/>
              <w:bottom w:val="single" w:sz="12" w:space="0" w:color="339966"/>
              <w:right w:val="nil"/>
            </w:tcBorders>
            <w:shd w:val="clear" w:color="000000" w:fill="92D050"/>
            <w:vAlign w:val="center"/>
            <w:hideMark/>
          </w:tcPr>
          <w:p w14:paraId="549A352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2,16%</w:t>
            </w:r>
          </w:p>
        </w:tc>
        <w:tc>
          <w:tcPr>
            <w:tcW w:w="1172" w:type="dxa"/>
            <w:tcBorders>
              <w:top w:val="nil"/>
              <w:left w:val="nil"/>
              <w:bottom w:val="single" w:sz="12" w:space="0" w:color="339966"/>
              <w:right w:val="nil"/>
            </w:tcBorders>
            <w:shd w:val="clear" w:color="000000" w:fill="FF0000"/>
            <w:vAlign w:val="center"/>
            <w:hideMark/>
          </w:tcPr>
          <w:p w14:paraId="3AF6508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0,19</w:t>
            </w:r>
          </w:p>
        </w:tc>
        <w:tc>
          <w:tcPr>
            <w:tcW w:w="1534" w:type="dxa"/>
            <w:tcBorders>
              <w:top w:val="nil"/>
              <w:left w:val="nil"/>
              <w:bottom w:val="single" w:sz="12" w:space="0" w:color="339966"/>
              <w:right w:val="nil"/>
            </w:tcBorders>
            <w:shd w:val="clear" w:color="000000" w:fill="FF0000"/>
            <w:vAlign w:val="center"/>
            <w:hideMark/>
          </w:tcPr>
          <w:p w14:paraId="167BC40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1,32</w:t>
            </w:r>
          </w:p>
        </w:tc>
        <w:tc>
          <w:tcPr>
            <w:tcW w:w="1221" w:type="dxa"/>
            <w:tcBorders>
              <w:top w:val="nil"/>
              <w:left w:val="nil"/>
              <w:bottom w:val="single" w:sz="12" w:space="0" w:color="339966"/>
              <w:right w:val="nil"/>
            </w:tcBorders>
            <w:shd w:val="clear" w:color="000000" w:fill="FFFF00"/>
            <w:vAlign w:val="center"/>
            <w:hideMark/>
          </w:tcPr>
          <w:p w14:paraId="251B0AF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87,15%</w:t>
            </w:r>
          </w:p>
        </w:tc>
      </w:tr>
      <w:tr w:rsidR="008729F9" w:rsidRPr="008729F9" w14:paraId="626864AA"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193F6DD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Caema</w:t>
            </w:r>
          </w:p>
        </w:tc>
        <w:tc>
          <w:tcPr>
            <w:tcW w:w="1169" w:type="dxa"/>
            <w:tcBorders>
              <w:top w:val="nil"/>
              <w:left w:val="nil"/>
              <w:bottom w:val="single" w:sz="12" w:space="0" w:color="339966"/>
              <w:right w:val="nil"/>
            </w:tcBorders>
            <w:shd w:val="clear" w:color="000000" w:fill="FFFF00"/>
            <w:vAlign w:val="center"/>
            <w:hideMark/>
          </w:tcPr>
          <w:p w14:paraId="3165911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3,40 </w:t>
            </w:r>
          </w:p>
        </w:tc>
        <w:tc>
          <w:tcPr>
            <w:tcW w:w="1265" w:type="dxa"/>
            <w:tcBorders>
              <w:top w:val="nil"/>
              <w:left w:val="nil"/>
              <w:bottom w:val="single" w:sz="12" w:space="0" w:color="339966"/>
              <w:right w:val="nil"/>
            </w:tcBorders>
            <w:shd w:val="clear" w:color="000000" w:fill="FF0000"/>
            <w:vAlign w:val="center"/>
            <w:hideMark/>
          </w:tcPr>
          <w:p w14:paraId="207C243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8,33%</w:t>
            </w:r>
          </w:p>
        </w:tc>
        <w:tc>
          <w:tcPr>
            <w:tcW w:w="1144" w:type="dxa"/>
            <w:tcBorders>
              <w:top w:val="nil"/>
              <w:left w:val="nil"/>
              <w:bottom w:val="single" w:sz="12" w:space="0" w:color="339966"/>
              <w:right w:val="nil"/>
            </w:tcBorders>
            <w:shd w:val="clear" w:color="000000" w:fill="FF0000"/>
            <w:vAlign w:val="center"/>
            <w:hideMark/>
          </w:tcPr>
          <w:p w14:paraId="5585BA9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30,90%</w:t>
            </w:r>
          </w:p>
        </w:tc>
        <w:tc>
          <w:tcPr>
            <w:tcW w:w="1172" w:type="dxa"/>
            <w:tcBorders>
              <w:top w:val="nil"/>
              <w:left w:val="nil"/>
              <w:bottom w:val="single" w:sz="12" w:space="0" w:color="339966"/>
              <w:right w:val="nil"/>
            </w:tcBorders>
            <w:shd w:val="clear" w:color="000000" w:fill="FF0000"/>
            <w:vAlign w:val="center"/>
            <w:hideMark/>
          </w:tcPr>
          <w:p w14:paraId="06548C6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0,58</w:t>
            </w:r>
          </w:p>
        </w:tc>
        <w:tc>
          <w:tcPr>
            <w:tcW w:w="1534" w:type="dxa"/>
            <w:tcBorders>
              <w:top w:val="nil"/>
              <w:left w:val="nil"/>
              <w:bottom w:val="single" w:sz="12" w:space="0" w:color="339966"/>
              <w:right w:val="nil"/>
            </w:tcBorders>
            <w:shd w:val="clear" w:color="000000" w:fill="FF0000"/>
            <w:vAlign w:val="center"/>
            <w:hideMark/>
          </w:tcPr>
          <w:p w14:paraId="7499FDF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0,63</w:t>
            </w:r>
          </w:p>
        </w:tc>
        <w:tc>
          <w:tcPr>
            <w:tcW w:w="1221" w:type="dxa"/>
            <w:tcBorders>
              <w:top w:val="nil"/>
              <w:left w:val="nil"/>
              <w:bottom w:val="single" w:sz="12" w:space="0" w:color="339966"/>
              <w:right w:val="nil"/>
            </w:tcBorders>
            <w:shd w:val="clear" w:color="000000" w:fill="FF0000"/>
            <w:vAlign w:val="center"/>
            <w:hideMark/>
          </w:tcPr>
          <w:p w14:paraId="52B0C45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61,60%</w:t>
            </w:r>
          </w:p>
        </w:tc>
      </w:tr>
      <w:tr w:rsidR="008729F9" w:rsidRPr="008729F9" w14:paraId="60B6E980"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59EAB6A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w:t>
            </w:r>
          </w:p>
        </w:tc>
        <w:tc>
          <w:tcPr>
            <w:tcW w:w="1169" w:type="dxa"/>
            <w:tcBorders>
              <w:top w:val="nil"/>
              <w:left w:val="nil"/>
              <w:bottom w:val="single" w:sz="12" w:space="0" w:color="339966"/>
              <w:right w:val="nil"/>
            </w:tcBorders>
            <w:shd w:val="clear" w:color="000000" w:fill="FFFF00"/>
            <w:vAlign w:val="center"/>
            <w:hideMark/>
          </w:tcPr>
          <w:p w14:paraId="1C6E304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3,91 </w:t>
            </w:r>
          </w:p>
        </w:tc>
        <w:tc>
          <w:tcPr>
            <w:tcW w:w="1265" w:type="dxa"/>
            <w:tcBorders>
              <w:top w:val="nil"/>
              <w:left w:val="nil"/>
              <w:bottom w:val="single" w:sz="12" w:space="0" w:color="339966"/>
              <w:right w:val="nil"/>
            </w:tcBorders>
            <w:shd w:val="clear" w:color="000000" w:fill="FF0000"/>
            <w:vAlign w:val="center"/>
            <w:hideMark/>
          </w:tcPr>
          <w:p w14:paraId="4A3E3D0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-48,44%</w:t>
            </w:r>
          </w:p>
        </w:tc>
        <w:tc>
          <w:tcPr>
            <w:tcW w:w="1144" w:type="dxa"/>
            <w:tcBorders>
              <w:top w:val="nil"/>
              <w:left w:val="nil"/>
              <w:bottom w:val="single" w:sz="12" w:space="0" w:color="339966"/>
              <w:right w:val="nil"/>
            </w:tcBorders>
            <w:shd w:val="clear" w:color="000000" w:fill="FF0000"/>
            <w:vAlign w:val="center"/>
            <w:hideMark/>
          </w:tcPr>
          <w:p w14:paraId="50B8025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16,79%</w:t>
            </w:r>
          </w:p>
        </w:tc>
        <w:tc>
          <w:tcPr>
            <w:tcW w:w="1172" w:type="dxa"/>
            <w:tcBorders>
              <w:top w:val="nil"/>
              <w:left w:val="nil"/>
              <w:bottom w:val="single" w:sz="12" w:space="0" w:color="339966"/>
              <w:right w:val="nil"/>
            </w:tcBorders>
            <w:shd w:val="clear" w:color="000000" w:fill="FF0000"/>
            <w:vAlign w:val="center"/>
            <w:hideMark/>
          </w:tcPr>
          <w:p w14:paraId="3E3ECAC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0,13</w:t>
            </w:r>
          </w:p>
        </w:tc>
        <w:tc>
          <w:tcPr>
            <w:tcW w:w="1534" w:type="dxa"/>
            <w:tcBorders>
              <w:top w:val="nil"/>
              <w:left w:val="nil"/>
              <w:bottom w:val="single" w:sz="12" w:space="0" w:color="339966"/>
              <w:right w:val="nil"/>
            </w:tcBorders>
            <w:shd w:val="clear" w:color="000000" w:fill="FF0000"/>
            <w:vAlign w:val="center"/>
            <w:hideMark/>
          </w:tcPr>
          <w:p w14:paraId="09F601D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2,43</w:t>
            </w:r>
          </w:p>
        </w:tc>
        <w:tc>
          <w:tcPr>
            <w:tcW w:w="1221" w:type="dxa"/>
            <w:tcBorders>
              <w:top w:val="nil"/>
              <w:left w:val="nil"/>
              <w:bottom w:val="single" w:sz="12" w:space="0" w:color="339966"/>
              <w:right w:val="nil"/>
            </w:tcBorders>
            <w:shd w:val="clear" w:color="000000" w:fill="FF0000"/>
            <w:vAlign w:val="center"/>
            <w:hideMark/>
          </w:tcPr>
          <w:p w14:paraId="3DB1953C"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80,09%</w:t>
            </w:r>
          </w:p>
        </w:tc>
      </w:tr>
      <w:tr w:rsidR="008729F9" w:rsidRPr="008729F9" w14:paraId="174457C7"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6428B10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Caerd</w:t>
            </w:r>
          </w:p>
        </w:tc>
        <w:tc>
          <w:tcPr>
            <w:tcW w:w="1169" w:type="dxa"/>
            <w:tcBorders>
              <w:top w:val="nil"/>
              <w:left w:val="nil"/>
              <w:bottom w:val="single" w:sz="12" w:space="0" w:color="339966"/>
              <w:right w:val="nil"/>
            </w:tcBorders>
            <w:shd w:val="clear" w:color="000000" w:fill="FF0000"/>
            <w:vAlign w:val="center"/>
            <w:hideMark/>
          </w:tcPr>
          <w:p w14:paraId="081B8DF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5,55 </w:t>
            </w:r>
          </w:p>
        </w:tc>
        <w:tc>
          <w:tcPr>
            <w:tcW w:w="1265" w:type="dxa"/>
            <w:tcBorders>
              <w:top w:val="nil"/>
              <w:left w:val="nil"/>
              <w:bottom w:val="single" w:sz="12" w:space="0" w:color="339966"/>
              <w:right w:val="nil"/>
            </w:tcBorders>
            <w:shd w:val="clear" w:color="000000" w:fill="92D050"/>
            <w:vAlign w:val="center"/>
            <w:hideMark/>
          </w:tcPr>
          <w:p w14:paraId="242125D4"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36,26%</w:t>
            </w:r>
          </w:p>
        </w:tc>
        <w:tc>
          <w:tcPr>
            <w:tcW w:w="1144" w:type="dxa"/>
            <w:tcBorders>
              <w:top w:val="nil"/>
              <w:left w:val="nil"/>
              <w:bottom w:val="single" w:sz="12" w:space="0" w:color="339966"/>
              <w:right w:val="nil"/>
            </w:tcBorders>
            <w:shd w:val="clear" w:color="000000" w:fill="FF0000"/>
            <w:vAlign w:val="center"/>
            <w:hideMark/>
          </w:tcPr>
          <w:p w14:paraId="26B4F03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10,72%</w:t>
            </w:r>
          </w:p>
        </w:tc>
        <w:tc>
          <w:tcPr>
            <w:tcW w:w="1172" w:type="dxa"/>
            <w:tcBorders>
              <w:top w:val="nil"/>
              <w:left w:val="nil"/>
              <w:bottom w:val="single" w:sz="12" w:space="0" w:color="339966"/>
              <w:right w:val="nil"/>
            </w:tcBorders>
            <w:shd w:val="clear" w:color="000000" w:fill="FF0000"/>
            <w:vAlign w:val="center"/>
            <w:hideMark/>
          </w:tcPr>
          <w:p w14:paraId="06710CC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0,19</w:t>
            </w:r>
          </w:p>
        </w:tc>
        <w:tc>
          <w:tcPr>
            <w:tcW w:w="1534" w:type="dxa"/>
            <w:tcBorders>
              <w:top w:val="nil"/>
              <w:left w:val="nil"/>
              <w:bottom w:val="single" w:sz="12" w:space="0" w:color="339966"/>
              <w:right w:val="nil"/>
            </w:tcBorders>
            <w:shd w:val="clear" w:color="000000" w:fill="FF0000"/>
            <w:vAlign w:val="center"/>
            <w:hideMark/>
          </w:tcPr>
          <w:p w14:paraId="3A0520F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2,71</w:t>
            </w:r>
          </w:p>
        </w:tc>
        <w:tc>
          <w:tcPr>
            <w:tcW w:w="1221" w:type="dxa"/>
            <w:tcBorders>
              <w:top w:val="nil"/>
              <w:left w:val="nil"/>
              <w:bottom w:val="single" w:sz="12" w:space="0" w:color="339966"/>
              <w:right w:val="nil"/>
            </w:tcBorders>
            <w:shd w:val="clear" w:color="000000" w:fill="FF0000"/>
            <w:vAlign w:val="center"/>
            <w:hideMark/>
          </w:tcPr>
          <w:p w14:paraId="71CE6D4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74,21%</w:t>
            </w:r>
          </w:p>
        </w:tc>
      </w:tr>
      <w:tr w:rsidR="008729F9" w:rsidRPr="008729F9" w14:paraId="383359E0"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33E82C4F"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Caern</w:t>
            </w:r>
          </w:p>
        </w:tc>
        <w:tc>
          <w:tcPr>
            <w:tcW w:w="1169" w:type="dxa"/>
            <w:tcBorders>
              <w:top w:val="nil"/>
              <w:left w:val="nil"/>
              <w:bottom w:val="single" w:sz="12" w:space="0" w:color="339966"/>
              <w:right w:val="nil"/>
            </w:tcBorders>
            <w:shd w:val="clear" w:color="000000" w:fill="FFFF00"/>
            <w:vAlign w:val="center"/>
            <w:hideMark/>
          </w:tcPr>
          <w:p w14:paraId="6CF8A35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3,42 </w:t>
            </w:r>
          </w:p>
        </w:tc>
        <w:tc>
          <w:tcPr>
            <w:tcW w:w="1265" w:type="dxa"/>
            <w:tcBorders>
              <w:top w:val="nil"/>
              <w:left w:val="nil"/>
              <w:bottom w:val="single" w:sz="12" w:space="0" w:color="339966"/>
              <w:right w:val="nil"/>
            </w:tcBorders>
            <w:shd w:val="clear" w:color="000000" w:fill="FF0000"/>
            <w:vAlign w:val="center"/>
            <w:hideMark/>
          </w:tcPr>
          <w:p w14:paraId="199E6BB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10,38%</w:t>
            </w:r>
          </w:p>
        </w:tc>
        <w:tc>
          <w:tcPr>
            <w:tcW w:w="1144" w:type="dxa"/>
            <w:tcBorders>
              <w:top w:val="nil"/>
              <w:left w:val="nil"/>
              <w:bottom w:val="single" w:sz="12" w:space="0" w:color="339966"/>
              <w:right w:val="nil"/>
            </w:tcBorders>
            <w:shd w:val="clear" w:color="000000" w:fill="FFFF00"/>
            <w:vAlign w:val="center"/>
            <w:hideMark/>
          </w:tcPr>
          <w:p w14:paraId="6D9706B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10,49%</w:t>
            </w:r>
          </w:p>
        </w:tc>
        <w:tc>
          <w:tcPr>
            <w:tcW w:w="1172" w:type="dxa"/>
            <w:tcBorders>
              <w:top w:val="nil"/>
              <w:left w:val="nil"/>
              <w:bottom w:val="single" w:sz="12" w:space="0" w:color="339966"/>
              <w:right w:val="nil"/>
            </w:tcBorders>
            <w:shd w:val="clear" w:color="000000" w:fill="92D050"/>
            <w:vAlign w:val="center"/>
            <w:hideMark/>
          </w:tcPr>
          <w:p w14:paraId="55EAC13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2,34</w:t>
            </w:r>
          </w:p>
        </w:tc>
        <w:tc>
          <w:tcPr>
            <w:tcW w:w="1534" w:type="dxa"/>
            <w:tcBorders>
              <w:top w:val="nil"/>
              <w:left w:val="nil"/>
              <w:bottom w:val="single" w:sz="12" w:space="0" w:color="339966"/>
              <w:right w:val="nil"/>
            </w:tcBorders>
            <w:shd w:val="clear" w:color="000000" w:fill="92D050"/>
            <w:vAlign w:val="center"/>
            <w:hideMark/>
          </w:tcPr>
          <w:p w14:paraId="2A03A10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0,36</w:t>
            </w:r>
          </w:p>
        </w:tc>
        <w:tc>
          <w:tcPr>
            <w:tcW w:w="1221" w:type="dxa"/>
            <w:tcBorders>
              <w:top w:val="nil"/>
              <w:left w:val="nil"/>
              <w:bottom w:val="single" w:sz="12" w:space="0" w:color="339966"/>
              <w:right w:val="nil"/>
            </w:tcBorders>
            <w:shd w:val="clear" w:color="000000" w:fill="92D050"/>
            <w:vAlign w:val="center"/>
            <w:hideMark/>
          </w:tcPr>
          <w:p w14:paraId="6844F33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103,07%</w:t>
            </w:r>
          </w:p>
        </w:tc>
      </w:tr>
      <w:tr w:rsidR="008729F9" w:rsidRPr="008729F9" w14:paraId="3B6957D7"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250BB88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Caesa</w:t>
            </w:r>
          </w:p>
        </w:tc>
        <w:tc>
          <w:tcPr>
            <w:tcW w:w="1169" w:type="dxa"/>
            <w:tcBorders>
              <w:top w:val="nil"/>
              <w:left w:val="nil"/>
              <w:bottom w:val="single" w:sz="12" w:space="0" w:color="339966"/>
              <w:right w:val="nil"/>
            </w:tcBorders>
            <w:shd w:val="clear" w:color="000000" w:fill="FF0000"/>
            <w:vAlign w:val="center"/>
            <w:hideMark/>
          </w:tcPr>
          <w:p w14:paraId="4DB1BCF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3,97 </w:t>
            </w:r>
          </w:p>
        </w:tc>
        <w:tc>
          <w:tcPr>
            <w:tcW w:w="1265" w:type="dxa"/>
            <w:tcBorders>
              <w:top w:val="nil"/>
              <w:left w:val="nil"/>
              <w:bottom w:val="single" w:sz="12" w:space="0" w:color="339966"/>
              <w:right w:val="nil"/>
            </w:tcBorders>
            <w:shd w:val="clear" w:color="000000" w:fill="92D050"/>
            <w:vAlign w:val="center"/>
            <w:hideMark/>
          </w:tcPr>
          <w:p w14:paraId="36AB785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30,59%</w:t>
            </w:r>
          </w:p>
        </w:tc>
        <w:tc>
          <w:tcPr>
            <w:tcW w:w="1144" w:type="dxa"/>
            <w:tcBorders>
              <w:top w:val="nil"/>
              <w:left w:val="nil"/>
              <w:bottom w:val="single" w:sz="12" w:space="0" w:color="339966"/>
              <w:right w:val="nil"/>
            </w:tcBorders>
            <w:shd w:val="clear" w:color="000000" w:fill="FF0000"/>
            <w:vAlign w:val="center"/>
            <w:hideMark/>
          </w:tcPr>
          <w:p w14:paraId="6B33AFC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0,4639</w:t>
            </w:r>
          </w:p>
        </w:tc>
        <w:tc>
          <w:tcPr>
            <w:tcW w:w="1172" w:type="dxa"/>
            <w:tcBorders>
              <w:top w:val="nil"/>
              <w:left w:val="nil"/>
              <w:bottom w:val="single" w:sz="12" w:space="0" w:color="339966"/>
              <w:right w:val="nil"/>
            </w:tcBorders>
            <w:shd w:val="clear" w:color="000000" w:fill="FF0000"/>
            <w:vAlign w:val="center"/>
            <w:hideMark/>
          </w:tcPr>
          <w:p w14:paraId="38EBB59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0,12</w:t>
            </w:r>
          </w:p>
        </w:tc>
        <w:tc>
          <w:tcPr>
            <w:tcW w:w="1534" w:type="dxa"/>
            <w:tcBorders>
              <w:top w:val="nil"/>
              <w:left w:val="nil"/>
              <w:bottom w:val="single" w:sz="12" w:space="0" w:color="339966"/>
              <w:right w:val="nil"/>
            </w:tcBorders>
            <w:shd w:val="clear" w:color="000000" w:fill="FF0000"/>
            <w:vAlign w:val="center"/>
            <w:hideMark/>
          </w:tcPr>
          <w:p w14:paraId="45A2608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1,98</w:t>
            </w:r>
          </w:p>
        </w:tc>
        <w:tc>
          <w:tcPr>
            <w:tcW w:w="1221" w:type="dxa"/>
            <w:tcBorders>
              <w:top w:val="nil"/>
              <w:left w:val="nil"/>
              <w:bottom w:val="single" w:sz="12" w:space="0" w:color="339966"/>
              <w:right w:val="nil"/>
            </w:tcBorders>
            <w:shd w:val="clear" w:color="000000" w:fill="FF0000"/>
            <w:vAlign w:val="center"/>
            <w:hideMark/>
          </w:tcPr>
          <w:p w14:paraId="015F2DB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47,07%</w:t>
            </w:r>
          </w:p>
        </w:tc>
      </w:tr>
      <w:tr w:rsidR="008729F9" w:rsidRPr="008729F9" w14:paraId="073E7ADF"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535B99D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Caesb</w:t>
            </w:r>
          </w:p>
        </w:tc>
        <w:tc>
          <w:tcPr>
            <w:tcW w:w="1169" w:type="dxa"/>
            <w:tcBorders>
              <w:top w:val="nil"/>
              <w:left w:val="nil"/>
              <w:bottom w:val="single" w:sz="12" w:space="0" w:color="339966"/>
              <w:right w:val="nil"/>
            </w:tcBorders>
            <w:shd w:val="clear" w:color="000000" w:fill="FF0000"/>
            <w:vAlign w:val="center"/>
            <w:hideMark/>
          </w:tcPr>
          <w:p w14:paraId="7C299E0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4,68 </w:t>
            </w:r>
          </w:p>
        </w:tc>
        <w:tc>
          <w:tcPr>
            <w:tcW w:w="1265" w:type="dxa"/>
            <w:tcBorders>
              <w:top w:val="nil"/>
              <w:left w:val="nil"/>
              <w:bottom w:val="single" w:sz="12" w:space="0" w:color="339966"/>
              <w:right w:val="nil"/>
            </w:tcBorders>
            <w:shd w:val="clear" w:color="000000" w:fill="FFFF00"/>
            <w:vAlign w:val="center"/>
            <w:hideMark/>
          </w:tcPr>
          <w:p w14:paraId="63A052F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12,45%</w:t>
            </w:r>
          </w:p>
        </w:tc>
        <w:tc>
          <w:tcPr>
            <w:tcW w:w="1144" w:type="dxa"/>
            <w:tcBorders>
              <w:top w:val="nil"/>
              <w:left w:val="nil"/>
              <w:bottom w:val="single" w:sz="12" w:space="0" w:color="339966"/>
              <w:right w:val="nil"/>
            </w:tcBorders>
            <w:shd w:val="clear" w:color="000000" w:fill="FFFF00"/>
            <w:vAlign w:val="center"/>
            <w:hideMark/>
          </w:tcPr>
          <w:p w14:paraId="189C11F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7,20%</w:t>
            </w:r>
          </w:p>
        </w:tc>
        <w:tc>
          <w:tcPr>
            <w:tcW w:w="1172" w:type="dxa"/>
            <w:tcBorders>
              <w:top w:val="nil"/>
              <w:left w:val="nil"/>
              <w:bottom w:val="single" w:sz="12" w:space="0" w:color="339966"/>
              <w:right w:val="nil"/>
            </w:tcBorders>
            <w:shd w:val="clear" w:color="000000" w:fill="FFFF00"/>
            <w:vAlign w:val="center"/>
            <w:hideMark/>
          </w:tcPr>
          <w:p w14:paraId="366A261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0,99</w:t>
            </w:r>
          </w:p>
        </w:tc>
        <w:tc>
          <w:tcPr>
            <w:tcW w:w="1534" w:type="dxa"/>
            <w:tcBorders>
              <w:top w:val="nil"/>
              <w:left w:val="nil"/>
              <w:bottom w:val="single" w:sz="12" w:space="0" w:color="339966"/>
              <w:right w:val="nil"/>
            </w:tcBorders>
            <w:shd w:val="clear" w:color="000000" w:fill="FFFF00"/>
            <w:vAlign w:val="center"/>
            <w:hideMark/>
          </w:tcPr>
          <w:p w14:paraId="2143454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0,56</w:t>
            </w:r>
          </w:p>
        </w:tc>
        <w:tc>
          <w:tcPr>
            <w:tcW w:w="1221" w:type="dxa"/>
            <w:tcBorders>
              <w:top w:val="nil"/>
              <w:left w:val="nil"/>
              <w:bottom w:val="single" w:sz="12" w:space="0" w:color="339966"/>
              <w:right w:val="nil"/>
            </w:tcBorders>
            <w:shd w:val="clear" w:color="000000" w:fill="FFFF00"/>
            <w:vAlign w:val="center"/>
            <w:hideMark/>
          </w:tcPr>
          <w:p w14:paraId="2CC4716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100,92%</w:t>
            </w:r>
          </w:p>
        </w:tc>
      </w:tr>
      <w:tr w:rsidR="008729F9" w:rsidRPr="008729F9" w14:paraId="3B960A52"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02FC6E5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Cagece</w:t>
            </w:r>
          </w:p>
        </w:tc>
        <w:tc>
          <w:tcPr>
            <w:tcW w:w="1169" w:type="dxa"/>
            <w:tcBorders>
              <w:top w:val="nil"/>
              <w:left w:val="nil"/>
              <w:bottom w:val="single" w:sz="12" w:space="0" w:color="339966"/>
              <w:right w:val="nil"/>
            </w:tcBorders>
            <w:shd w:val="clear" w:color="000000" w:fill="92D050"/>
            <w:vAlign w:val="center"/>
            <w:hideMark/>
          </w:tcPr>
          <w:p w14:paraId="2920E0D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2,77 </w:t>
            </w:r>
          </w:p>
        </w:tc>
        <w:tc>
          <w:tcPr>
            <w:tcW w:w="1265" w:type="dxa"/>
            <w:tcBorders>
              <w:top w:val="nil"/>
              <w:left w:val="nil"/>
              <w:bottom w:val="single" w:sz="12" w:space="0" w:color="339966"/>
              <w:right w:val="nil"/>
            </w:tcBorders>
            <w:shd w:val="clear" w:color="000000" w:fill="FF0000"/>
            <w:vAlign w:val="center"/>
            <w:hideMark/>
          </w:tcPr>
          <w:p w14:paraId="6D5E293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1,83%</w:t>
            </w:r>
          </w:p>
        </w:tc>
        <w:tc>
          <w:tcPr>
            <w:tcW w:w="1144" w:type="dxa"/>
            <w:tcBorders>
              <w:top w:val="nil"/>
              <w:left w:val="nil"/>
              <w:bottom w:val="single" w:sz="12" w:space="0" w:color="339966"/>
              <w:right w:val="nil"/>
            </w:tcBorders>
            <w:shd w:val="clear" w:color="000000" w:fill="FFFF00"/>
            <w:vAlign w:val="center"/>
            <w:hideMark/>
          </w:tcPr>
          <w:p w14:paraId="505F172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5,95%</w:t>
            </w:r>
          </w:p>
        </w:tc>
        <w:tc>
          <w:tcPr>
            <w:tcW w:w="1172" w:type="dxa"/>
            <w:tcBorders>
              <w:top w:val="nil"/>
              <w:left w:val="nil"/>
              <w:bottom w:val="single" w:sz="12" w:space="0" w:color="339966"/>
              <w:right w:val="nil"/>
            </w:tcBorders>
            <w:shd w:val="clear" w:color="000000" w:fill="FFFF00"/>
            <w:vAlign w:val="center"/>
            <w:hideMark/>
          </w:tcPr>
          <w:p w14:paraId="6B08827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0,68</w:t>
            </w:r>
          </w:p>
        </w:tc>
        <w:tc>
          <w:tcPr>
            <w:tcW w:w="1534" w:type="dxa"/>
            <w:tcBorders>
              <w:top w:val="nil"/>
              <w:left w:val="nil"/>
              <w:bottom w:val="single" w:sz="12" w:space="0" w:color="339966"/>
              <w:right w:val="nil"/>
            </w:tcBorders>
            <w:shd w:val="clear" w:color="000000" w:fill="92D050"/>
            <w:vAlign w:val="center"/>
            <w:hideMark/>
          </w:tcPr>
          <w:p w14:paraId="40830C9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0,39</w:t>
            </w:r>
          </w:p>
        </w:tc>
        <w:tc>
          <w:tcPr>
            <w:tcW w:w="1221" w:type="dxa"/>
            <w:tcBorders>
              <w:top w:val="nil"/>
              <w:left w:val="nil"/>
              <w:bottom w:val="single" w:sz="12" w:space="0" w:color="339966"/>
              <w:right w:val="nil"/>
            </w:tcBorders>
            <w:shd w:val="clear" w:color="000000" w:fill="FFFF00"/>
            <w:vAlign w:val="center"/>
            <w:hideMark/>
          </w:tcPr>
          <w:p w14:paraId="7E87D22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88,00%</w:t>
            </w:r>
          </w:p>
        </w:tc>
      </w:tr>
      <w:tr w:rsidR="008729F9" w:rsidRPr="008729F9" w14:paraId="1220BEEB"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0616B1DA"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Cagepa</w:t>
            </w:r>
          </w:p>
        </w:tc>
        <w:tc>
          <w:tcPr>
            <w:tcW w:w="1169" w:type="dxa"/>
            <w:tcBorders>
              <w:top w:val="nil"/>
              <w:left w:val="nil"/>
              <w:bottom w:val="single" w:sz="12" w:space="0" w:color="339966"/>
              <w:right w:val="nil"/>
            </w:tcBorders>
            <w:shd w:val="clear" w:color="000000" w:fill="FFFF00"/>
            <w:vAlign w:val="center"/>
            <w:hideMark/>
          </w:tcPr>
          <w:p w14:paraId="2FB1A54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3,64 </w:t>
            </w:r>
          </w:p>
        </w:tc>
        <w:tc>
          <w:tcPr>
            <w:tcW w:w="1265" w:type="dxa"/>
            <w:tcBorders>
              <w:top w:val="nil"/>
              <w:left w:val="nil"/>
              <w:bottom w:val="single" w:sz="12" w:space="0" w:color="339966"/>
              <w:right w:val="nil"/>
            </w:tcBorders>
            <w:shd w:val="clear" w:color="000000" w:fill="FF0000"/>
            <w:vAlign w:val="center"/>
            <w:hideMark/>
          </w:tcPr>
          <w:p w14:paraId="4D1F622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-1,44%</w:t>
            </w:r>
          </w:p>
        </w:tc>
        <w:tc>
          <w:tcPr>
            <w:tcW w:w="1144" w:type="dxa"/>
            <w:tcBorders>
              <w:top w:val="nil"/>
              <w:left w:val="nil"/>
              <w:bottom w:val="single" w:sz="12" w:space="0" w:color="339966"/>
              <w:right w:val="nil"/>
            </w:tcBorders>
            <w:shd w:val="clear" w:color="000000" w:fill="FF0000"/>
            <w:vAlign w:val="center"/>
            <w:hideMark/>
          </w:tcPr>
          <w:p w14:paraId="48052A3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16,03%</w:t>
            </w:r>
          </w:p>
        </w:tc>
        <w:tc>
          <w:tcPr>
            <w:tcW w:w="1172" w:type="dxa"/>
            <w:tcBorders>
              <w:top w:val="nil"/>
              <w:left w:val="nil"/>
              <w:bottom w:val="single" w:sz="12" w:space="0" w:color="339966"/>
              <w:right w:val="nil"/>
            </w:tcBorders>
            <w:shd w:val="clear" w:color="000000" w:fill="FFFF00"/>
            <w:vAlign w:val="center"/>
            <w:hideMark/>
          </w:tcPr>
          <w:p w14:paraId="093154B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1,06</w:t>
            </w:r>
          </w:p>
        </w:tc>
        <w:tc>
          <w:tcPr>
            <w:tcW w:w="1534" w:type="dxa"/>
            <w:tcBorders>
              <w:top w:val="nil"/>
              <w:left w:val="nil"/>
              <w:bottom w:val="single" w:sz="12" w:space="0" w:color="339966"/>
              <w:right w:val="nil"/>
            </w:tcBorders>
            <w:shd w:val="clear" w:color="000000" w:fill="FFFF00"/>
            <w:vAlign w:val="center"/>
            <w:hideMark/>
          </w:tcPr>
          <w:p w14:paraId="448C27C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0,47 </w:t>
            </w:r>
          </w:p>
        </w:tc>
        <w:tc>
          <w:tcPr>
            <w:tcW w:w="1221" w:type="dxa"/>
            <w:tcBorders>
              <w:top w:val="nil"/>
              <w:left w:val="nil"/>
              <w:bottom w:val="single" w:sz="12" w:space="0" w:color="339966"/>
              <w:right w:val="nil"/>
            </w:tcBorders>
            <w:shd w:val="clear" w:color="000000" w:fill="FFFF00"/>
            <w:vAlign w:val="center"/>
            <w:hideMark/>
          </w:tcPr>
          <w:p w14:paraId="4FDDFC3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90,57%</w:t>
            </w:r>
          </w:p>
        </w:tc>
      </w:tr>
      <w:tr w:rsidR="008729F9" w:rsidRPr="008729F9" w14:paraId="4B1A152B"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0D48EC0E"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Casal</w:t>
            </w:r>
          </w:p>
        </w:tc>
        <w:tc>
          <w:tcPr>
            <w:tcW w:w="1169" w:type="dxa"/>
            <w:tcBorders>
              <w:top w:val="nil"/>
              <w:left w:val="nil"/>
              <w:bottom w:val="single" w:sz="12" w:space="0" w:color="339966"/>
              <w:right w:val="nil"/>
            </w:tcBorders>
            <w:shd w:val="clear" w:color="000000" w:fill="FF0000"/>
            <w:vAlign w:val="center"/>
            <w:hideMark/>
          </w:tcPr>
          <w:p w14:paraId="41948EC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5,23 </w:t>
            </w:r>
          </w:p>
        </w:tc>
        <w:tc>
          <w:tcPr>
            <w:tcW w:w="1265" w:type="dxa"/>
            <w:tcBorders>
              <w:top w:val="nil"/>
              <w:left w:val="nil"/>
              <w:bottom w:val="single" w:sz="12" w:space="0" w:color="339966"/>
              <w:right w:val="nil"/>
            </w:tcBorders>
            <w:shd w:val="clear" w:color="000000" w:fill="FF0000"/>
            <w:vAlign w:val="center"/>
            <w:hideMark/>
          </w:tcPr>
          <w:p w14:paraId="7B36633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8,14%</w:t>
            </w:r>
          </w:p>
        </w:tc>
        <w:tc>
          <w:tcPr>
            <w:tcW w:w="1144" w:type="dxa"/>
            <w:tcBorders>
              <w:top w:val="nil"/>
              <w:left w:val="nil"/>
              <w:bottom w:val="single" w:sz="12" w:space="0" w:color="339966"/>
              <w:right w:val="nil"/>
            </w:tcBorders>
            <w:shd w:val="clear" w:color="000000" w:fill="92D050"/>
            <w:vAlign w:val="center"/>
            <w:hideMark/>
          </w:tcPr>
          <w:p w14:paraId="708A6ADC"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3,50%</w:t>
            </w:r>
          </w:p>
        </w:tc>
        <w:tc>
          <w:tcPr>
            <w:tcW w:w="1172" w:type="dxa"/>
            <w:tcBorders>
              <w:top w:val="nil"/>
              <w:left w:val="nil"/>
              <w:bottom w:val="single" w:sz="12" w:space="0" w:color="339966"/>
              <w:right w:val="nil"/>
            </w:tcBorders>
            <w:shd w:val="clear" w:color="000000" w:fill="FF0000"/>
            <w:vAlign w:val="center"/>
            <w:hideMark/>
          </w:tcPr>
          <w:p w14:paraId="0932673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0,24</w:t>
            </w:r>
          </w:p>
        </w:tc>
        <w:tc>
          <w:tcPr>
            <w:tcW w:w="1534" w:type="dxa"/>
            <w:tcBorders>
              <w:top w:val="nil"/>
              <w:left w:val="nil"/>
              <w:bottom w:val="single" w:sz="12" w:space="0" w:color="339966"/>
              <w:right w:val="nil"/>
            </w:tcBorders>
            <w:shd w:val="clear" w:color="000000" w:fill="FF0000"/>
            <w:vAlign w:val="center"/>
            <w:hideMark/>
          </w:tcPr>
          <w:p w14:paraId="6DAF8FF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2,62</w:t>
            </w:r>
          </w:p>
        </w:tc>
        <w:tc>
          <w:tcPr>
            <w:tcW w:w="1221" w:type="dxa"/>
            <w:tcBorders>
              <w:top w:val="nil"/>
              <w:left w:val="nil"/>
              <w:bottom w:val="single" w:sz="12" w:space="0" w:color="339966"/>
              <w:right w:val="nil"/>
            </w:tcBorders>
            <w:shd w:val="clear" w:color="000000" w:fill="FF0000"/>
            <w:vAlign w:val="center"/>
            <w:hideMark/>
          </w:tcPr>
          <w:p w14:paraId="0332B36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77,97%</w:t>
            </w:r>
          </w:p>
        </w:tc>
      </w:tr>
      <w:tr w:rsidR="008729F9" w:rsidRPr="008729F9" w14:paraId="1D29620C"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42AAF1C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Casan</w:t>
            </w:r>
          </w:p>
        </w:tc>
        <w:tc>
          <w:tcPr>
            <w:tcW w:w="1169" w:type="dxa"/>
            <w:tcBorders>
              <w:top w:val="nil"/>
              <w:left w:val="nil"/>
              <w:bottom w:val="single" w:sz="12" w:space="0" w:color="339966"/>
              <w:right w:val="nil"/>
            </w:tcBorders>
            <w:shd w:val="clear" w:color="000000" w:fill="FF0000"/>
            <w:vAlign w:val="center"/>
            <w:hideMark/>
          </w:tcPr>
          <w:p w14:paraId="330A6A5C"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4,13 </w:t>
            </w:r>
          </w:p>
        </w:tc>
        <w:tc>
          <w:tcPr>
            <w:tcW w:w="1265" w:type="dxa"/>
            <w:tcBorders>
              <w:top w:val="nil"/>
              <w:left w:val="nil"/>
              <w:bottom w:val="single" w:sz="12" w:space="0" w:color="339966"/>
              <w:right w:val="nil"/>
            </w:tcBorders>
            <w:shd w:val="clear" w:color="000000" w:fill="FFFF00"/>
            <w:vAlign w:val="center"/>
            <w:hideMark/>
          </w:tcPr>
          <w:p w14:paraId="319F2A0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19,38%</w:t>
            </w:r>
          </w:p>
        </w:tc>
        <w:tc>
          <w:tcPr>
            <w:tcW w:w="1144" w:type="dxa"/>
            <w:tcBorders>
              <w:top w:val="nil"/>
              <w:left w:val="nil"/>
              <w:bottom w:val="single" w:sz="12" w:space="0" w:color="339966"/>
              <w:right w:val="nil"/>
            </w:tcBorders>
            <w:shd w:val="clear" w:color="000000" w:fill="92D050"/>
            <w:vAlign w:val="center"/>
            <w:hideMark/>
          </w:tcPr>
          <w:p w14:paraId="421D44BC"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3,35%</w:t>
            </w:r>
          </w:p>
        </w:tc>
        <w:tc>
          <w:tcPr>
            <w:tcW w:w="1172" w:type="dxa"/>
            <w:tcBorders>
              <w:top w:val="nil"/>
              <w:left w:val="nil"/>
              <w:bottom w:val="single" w:sz="12" w:space="0" w:color="339966"/>
              <w:right w:val="nil"/>
            </w:tcBorders>
            <w:shd w:val="clear" w:color="000000" w:fill="92D050"/>
            <w:vAlign w:val="center"/>
            <w:hideMark/>
          </w:tcPr>
          <w:p w14:paraId="77E2BE7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1,72</w:t>
            </w:r>
          </w:p>
        </w:tc>
        <w:tc>
          <w:tcPr>
            <w:tcW w:w="1534" w:type="dxa"/>
            <w:tcBorders>
              <w:top w:val="nil"/>
              <w:left w:val="nil"/>
              <w:bottom w:val="single" w:sz="12" w:space="0" w:color="339966"/>
              <w:right w:val="nil"/>
            </w:tcBorders>
            <w:shd w:val="clear" w:color="000000" w:fill="FFFF00"/>
            <w:vAlign w:val="center"/>
            <w:hideMark/>
          </w:tcPr>
          <w:p w14:paraId="50B25AE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0,53</w:t>
            </w:r>
          </w:p>
        </w:tc>
        <w:tc>
          <w:tcPr>
            <w:tcW w:w="1221" w:type="dxa"/>
            <w:tcBorders>
              <w:top w:val="nil"/>
              <w:left w:val="nil"/>
              <w:bottom w:val="single" w:sz="12" w:space="0" w:color="339966"/>
              <w:right w:val="nil"/>
            </w:tcBorders>
            <w:shd w:val="clear" w:color="000000" w:fill="FFFF00"/>
            <w:vAlign w:val="center"/>
            <w:hideMark/>
          </w:tcPr>
          <w:p w14:paraId="6555870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98,81%</w:t>
            </w:r>
          </w:p>
        </w:tc>
      </w:tr>
      <w:tr w:rsidR="008729F9" w:rsidRPr="008729F9" w14:paraId="63F70FCF"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57A325AC"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Cedae</w:t>
            </w:r>
          </w:p>
        </w:tc>
        <w:tc>
          <w:tcPr>
            <w:tcW w:w="1169" w:type="dxa"/>
            <w:tcBorders>
              <w:top w:val="nil"/>
              <w:left w:val="nil"/>
              <w:bottom w:val="single" w:sz="12" w:space="0" w:color="339966"/>
              <w:right w:val="nil"/>
            </w:tcBorders>
            <w:shd w:val="clear" w:color="000000" w:fill="92D050"/>
            <w:vAlign w:val="center"/>
            <w:hideMark/>
          </w:tcPr>
          <w:p w14:paraId="28E923F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2,68 </w:t>
            </w:r>
          </w:p>
        </w:tc>
        <w:tc>
          <w:tcPr>
            <w:tcW w:w="1265" w:type="dxa"/>
            <w:tcBorders>
              <w:top w:val="nil"/>
              <w:left w:val="nil"/>
              <w:bottom w:val="single" w:sz="12" w:space="0" w:color="339966"/>
              <w:right w:val="nil"/>
            </w:tcBorders>
            <w:shd w:val="clear" w:color="000000" w:fill="FFFF00"/>
            <w:vAlign w:val="center"/>
            <w:hideMark/>
          </w:tcPr>
          <w:p w14:paraId="13162EA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19,82%</w:t>
            </w:r>
          </w:p>
        </w:tc>
        <w:tc>
          <w:tcPr>
            <w:tcW w:w="1144" w:type="dxa"/>
            <w:tcBorders>
              <w:top w:val="nil"/>
              <w:left w:val="nil"/>
              <w:bottom w:val="single" w:sz="12" w:space="0" w:color="339966"/>
              <w:right w:val="nil"/>
            </w:tcBorders>
            <w:shd w:val="clear" w:color="000000" w:fill="FF0000"/>
            <w:vAlign w:val="center"/>
            <w:hideMark/>
          </w:tcPr>
          <w:p w14:paraId="55076CD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23,91%</w:t>
            </w:r>
          </w:p>
        </w:tc>
        <w:tc>
          <w:tcPr>
            <w:tcW w:w="1172" w:type="dxa"/>
            <w:tcBorders>
              <w:top w:val="nil"/>
              <w:left w:val="nil"/>
              <w:bottom w:val="single" w:sz="12" w:space="0" w:color="339966"/>
              <w:right w:val="nil"/>
            </w:tcBorders>
            <w:shd w:val="clear" w:color="000000" w:fill="92D050"/>
            <w:vAlign w:val="center"/>
            <w:hideMark/>
          </w:tcPr>
          <w:p w14:paraId="18E66CB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1,12</w:t>
            </w:r>
          </w:p>
        </w:tc>
        <w:tc>
          <w:tcPr>
            <w:tcW w:w="1534" w:type="dxa"/>
            <w:tcBorders>
              <w:top w:val="nil"/>
              <w:left w:val="nil"/>
              <w:bottom w:val="single" w:sz="12" w:space="0" w:color="339966"/>
              <w:right w:val="nil"/>
            </w:tcBorders>
            <w:shd w:val="clear" w:color="000000" w:fill="FFFF00"/>
            <w:vAlign w:val="center"/>
            <w:hideMark/>
          </w:tcPr>
          <w:p w14:paraId="5AE5535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0,57</w:t>
            </w:r>
          </w:p>
        </w:tc>
        <w:tc>
          <w:tcPr>
            <w:tcW w:w="1221" w:type="dxa"/>
            <w:tcBorders>
              <w:top w:val="nil"/>
              <w:left w:val="nil"/>
              <w:bottom w:val="single" w:sz="12" w:space="0" w:color="339966"/>
              <w:right w:val="nil"/>
            </w:tcBorders>
            <w:shd w:val="clear" w:color="000000" w:fill="92D050"/>
            <w:vAlign w:val="center"/>
            <w:hideMark/>
          </w:tcPr>
          <w:p w14:paraId="2ABB068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128,11%</w:t>
            </w:r>
          </w:p>
        </w:tc>
      </w:tr>
      <w:tr w:rsidR="008729F9" w:rsidRPr="008729F9" w14:paraId="7B66959D"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18266812"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Cesan</w:t>
            </w:r>
          </w:p>
        </w:tc>
        <w:tc>
          <w:tcPr>
            <w:tcW w:w="1169" w:type="dxa"/>
            <w:tcBorders>
              <w:top w:val="nil"/>
              <w:left w:val="nil"/>
              <w:bottom w:val="single" w:sz="12" w:space="0" w:color="339966"/>
              <w:right w:val="nil"/>
            </w:tcBorders>
            <w:shd w:val="clear" w:color="000000" w:fill="92D050"/>
            <w:vAlign w:val="center"/>
            <w:hideMark/>
          </w:tcPr>
          <w:p w14:paraId="1473354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2,33 </w:t>
            </w:r>
          </w:p>
        </w:tc>
        <w:tc>
          <w:tcPr>
            <w:tcW w:w="1265" w:type="dxa"/>
            <w:tcBorders>
              <w:top w:val="nil"/>
              <w:left w:val="nil"/>
              <w:bottom w:val="single" w:sz="12" w:space="0" w:color="339966"/>
              <w:right w:val="nil"/>
            </w:tcBorders>
            <w:shd w:val="clear" w:color="000000" w:fill="92D050"/>
            <w:vAlign w:val="center"/>
            <w:hideMark/>
          </w:tcPr>
          <w:p w14:paraId="22CFF49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44,58%</w:t>
            </w:r>
          </w:p>
        </w:tc>
        <w:tc>
          <w:tcPr>
            <w:tcW w:w="1144" w:type="dxa"/>
            <w:tcBorders>
              <w:top w:val="nil"/>
              <w:left w:val="nil"/>
              <w:bottom w:val="single" w:sz="12" w:space="0" w:color="339966"/>
              <w:right w:val="nil"/>
            </w:tcBorders>
            <w:shd w:val="clear" w:color="000000" w:fill="FFFF00"/>
            <w:vAlign w:val="center"/>
            <w:hideMark/>
          </w:tcPr>
          <w:p w14:paraId="1EE6C16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5,37%</w:t>
            </w:r>
          </w:p>
        </w:tc>
        <w:tc>
          <w:tcPr>
            <w:tcW w:w="1172" w:type="dxa"/>
            <w:tcBorders>
              <w:top w:val="nil"/>
              <w:left w:val="nil"/>
              <w:bottom w:val="single" w:sz="12" w:space="0" w:color="339966"/>
              <w:right w:val="nil"/>
            </w:tcBorders>
            <w:shd w:val="clear" w:color="000000" w:fill="92D050"/>
            <w:vAlign w:val="center"/>
            <w:hideMark/>
          </w:tcPr>
          <w:p w14:paraId="1596A55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1,27</w:t>
            </w:r>
          </w:p>
        </w:tc>
        <w:tc>
          <w:tcPr>
            <w:tcW w:w="1534" w:type="dxa"/>
            <w:tcBorders>
              <w:top w:val="nil"/>
              <w:left w:val="nil"/>
              <w:bottom w:val="single" w:sz="12" w:space="0" w:color="339966"/>
              <w:right w:val="nil"/>
            </w:tcBorders>
            <w:shd w:val="clear" w:color="000000" w:fill="92D050"/>
            <w:vAlign w:val="center"/>
            <w:hideMark/>
          </w:tcPr>
          <w:p w14:paraId="4F5216C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0,19</w:t>
            </w:r>
          </w:p>
        </w:tc>
        <w:tc>
          <w:tcPr>
            <w:tcW w:w="1221" w:type="dxa"/>
            <w:tcBorders>
              <w:top w:val="nil"/>
              <w:left w:val="nil"/>
              <w:bottom w:val="single" w:sz="12" w:space="0" w:color="339966"/>
              <w:right w:val="nil"/>
            </w:tcBorders>
            <w:shd w:val="clear" w:color="000000" w:fill="92D050"/>
            <w:vAlign w:val="center"/>
            <w:hideMark/>
          </w:tcPr>
          <w:p w14:paraId="1B3FD8A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123,29%</w:t>
            </w:r>
          </w:p>
        </w:tc>
      </w:tr>
      <w:tr w:rsidR="008729F9" w:rsidRPr="008729F9" w14:paraId="3323162F"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2986B547"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Compesa</w:t>
            </w:r>
          </w:p>
        </w:tc>
        <w:tc>
          <w:tcPr>
            <w:tcW w:w="1169" w:type="dxa"/>
            <w:tcBorders>
              <w:top w:val="nil"/>
              <w:left w:val="nil"/>
              <w:bottom w:val="single" w:sz="12" w:space="0" w:color="339966"/>
              <w:right w:val="nil"/>
            </w:tcBorders>
            <w:shd w:val="clear" w:color="000000" w:fill="92D050"/>
            <w:vAlign w:val="center"/>
            <w:hideMark/>
          </w:tcPr>
          <w:p w14:paraId="2FE5276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3,08 </w:t>
            </w:r>
          </w:p>
        </w:tc>
        <w:tc>
          <w:tcPr>
            <w:tcW w:w="1265" w:type="dxa"/>
            <w:tcBorders>
              <w:top w:val="nil"/>
              <w:left w:val="nil"/>
              <w:bottom w:val="single" w:sz="12" w:space="0" w:color="339966"/>
              <w:right w:val="nil"/>
            </w:tcBorders>
            <w:shd w:val="clear" w:color="000000" w:fill="FFFF00"/>
            <w:vAlign w:val="center"/>
            <w:hideMark/>
          </w:tcPr>
          <w:p w14:paraId="0525869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10,83%</w:t>
            </w:r>
          </w:p>
        </w:tc>
        <w:tc>
          <w:tcPr>
            <w:tcW w:w="1144" w:type="dxa"/>
            <w:tcBorders>
              <w:top w:val="nil"/>
              <w:left w:val="nil"/>
              <w:bottom w:val="single" w:sz="12" w:space="0" w:color="339966"/>
              <w:right w:val="nil"/>
            </w:tcBorders>
            <w:shd w:val="clear" w:color="000000" w:fill="FF0000"/>
            <w:vAlign w:val="center"/>
            <w:hideMark/>
          </w:tcPr>
          <w:p w14:paraId="0BAA19F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11,08%</w:t>
            </w:r>
          </w:p>
        </w:tc>
        <w:tc>
          <w:tcPr>
            <w:tcW w:w="1172" w:type="dxa"/>
            <w:tcBorders>
              <w:top w:val="nil"/>
              <w:left w:val="nil"/>
              <w:bottom w:val="single" w:sz="12" w:space="0" w:color="339966"/>
              <w:right w:val="nil"/>
            </w:tcBorders>
            <w:shd w:val="clear" w:color="000000" w:fill="92D050"/>
            <w:vAlign w:val="center"/>
            <w:hideMark/>
          </w:tcPr>
          <w:p w14:paraId="17B2E5E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1,91</w:t>
            </w:r>
          </w:p>
        </w:tc>
        <w:tc>
          <w:tcPr>
            <w:tcW w:w="1534" w:type="dxa"/>
            <w:tcBorders>
              <w:top w:val="nil"/>
              <w:left w:val="nil"/>
              <w:bottom w:val="single" w:sz="12" w:space="0" w:color="339966"/>
              <w:right w:val="nil"/>
            </w:tcBorders>
            <w:shd w:val="clear" w:color="000000" w:fill="92D050"/>
            <w:vAlign w:val="center"/>
            <w:hideMark/>
          </w:tcPr>
          <w:p w14:paraId="452AD29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0,25</w:t>
            </w:r>
          </w:p>
        </w:tc>
        <w:tc>
          <w:tcPr>
            <w:tcW w:w="1221" w:type="dxa"/>
            <w:tcBorders>
              <w:top w:val="nil"/>
              <w:left w:val="nil"/>
              <w:bottom w:val="single" w:sz="12" w:space="0" w:color="339966"/>
              <w:right w:val="nil"/>
            </w:tcBorders>
            <w:shd w:val="clear" w:color="000000" w:fill="FFFF00"/>
            <w:vAlign w:val="center"/>
            <w:hideMark/>
          </w:tcPr>
          <w:p w14:paraId="16DCE3F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98,30%</w:t>
            </w:r>
          </w:p>
        </w:tc>
      </w:tr>
      <w:tr w:rsidR="008729F9" w:rsidRPr="008729F9" w14:paraId="0FBAFA0A"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6416E888"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Copasa</w:t>
            </w:r>
          </w:p>
        </w:tc>
        <w:tc>
          <w:tcPr>
            <w:tcW w:w="1169" w:type="dxa"/>
            <w:tcBorders>
              <w:top w:val="nil"/>
              <w:left w:val="nil"/>
              <w:bottom w:val="single" w:sz="12" w:space="0" w:color="339966"/>
              <w:right w:val="nil"/>
            </w:tcBorders>
            <w:shd w:val="clear" w:color="000000" w:fill="FFFF00"/>
            <w:vAlign w:val="center"/>
            <w:hideMark/>
          </w:tcPr>
          <w:p w14:paraId="5DE392F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3,50 </w:t>
            </w:r>
          </w:p>
        </w:tc>
        <w:tc>
          <w:tcPr>
            <w:tcW w:w="1265" w:type="dxa"/>
            <w:tcBorders>
              <w:top w:val="nil"/>
              <w:left w:val="nil"/>
              <w:bottom w:val="single" w:sz="12" w:space="0" w:color="339966"/>
              <w:right w:val="nil"/>
            </w:tcBorders>
            <w:shd w:val="clear" w:color="000000" w:fill="92D050"/>
            <w:vAlign w:val="center"/>
            <w:hideMark/>
          </w:tcPr>
          <w:p w14:paraId="7E8A7E6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24,39%</w:t>
            </w:r>
          </w:p>
        </w:tc>
        <w:tc>
          <w:tcPr>
            <w:tcW w:w="1144" w:type="dxa"/>
            <w:tcBorders>
              <w:top w:val="nil"/>
              <w:left w:val="nil"/>
              <w:bottom w:val="single" w:sz="12" w:space="0" w:color="339966"/>
              <w:right w:val="nil"/>
            </w:tcBorders>
            <w:shd w:val="clear" w:color="000000" w:fill="92D050"/>
            <w:vAlign w:val="center"/>
            <w:hideMark/>
          </w:tcPr>
          <w:p w14:paraId="221FF96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4,91%</w:t>
            </w:r>
          </w:p>
        </w:tc>
        <w:tc>
          <w:tcPr>
            <w:tcW w:w="1172" w:type="dxa"/>
            <w:tcBorders>
              <w:top w:val="nil"/>
              <w:left w:val="nil"/>
              <w:bottom w:val="single" w:sz="12" w:space="0" w:color="339966"/>
              <w:right w:val="nil"/>
            </w:tcBorders>
            <w:shd w:val="clear" w:color="000000" w:fill="92D050"/>
            <w:vAlign w:val="center"/>
            <w:hideMark/>
          </w:tcPr>
          <w:p w14:paraId="3FAECE7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1,31</w:t>
            </w:r>
          </w:p>
        </w:tc>
        <w:tc>
          <w:tcPr>
            <w:tcW w:w="1534" w:type="dxa"/>
            <w:tcBorders>
              <w:top w:val="nil"/>
              <w:left w:val="nil"/>
              <w:bottom w:val="single" w:sz="12" w:space="0" w:color="339966"/>
              <w:right w:val="nil"/>
            </w:tcBorders>
            <w:shd w:val="clear" w:color="000000" w:fill="FFFF00"/>
            <w:vAlign w:val="center"/>
            <w:hideMark/>
          </w:tcPr>
          <w:p w14:paraId="3034597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w:t>
            </w:r>
          </w:p>
        </w:tc>
        <w:tc>
          <w:tcPr>
            <w:tcW w:w="1221" w:type="dxa"/>
            <w:tcBorders>
              <w:top w:val="nil"/>
              <w:left w:val="nil"/>
              <w:bottom w:val="single" w:sz="12" w:space="0" w:color="339966"/>
              <w:right w:val="nil"/>
            </w:tcBorders>
            <w:shd w:val="clear" w:color="000000" w:fill="FFFF00"/>
            <w:vAlign w:val="center"/>
            <w:hideMark/>
          </w:tcPr>
          <w:p w14:paraId="635A069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94,24%</w:t>
            </w:r>
          </w:p>
        </w:tc>
      </w:tr>
      <w:tr w:rsidR="008729F9" w:rsidRPr="008729F9" w14:paraId="0E087901"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131713CC"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Corsan</w:t>
            </w:r>
          </w:p>
        </w:tc>
        <w:tc>
          <w:tcPr>
            <w:tcW w:w="1169" w:type="dxa"/>
            <w:tcBorders>
              <w:top w:val="nil"/>
              <w:left w:val="nil"/>
              <w:bottom w:val="single" w:sz="12" w:space="0" w:color="339966"/>
              <w:right w:val="nil"/>
            </w:tcBorders>
            <w:shd w:val="clear" w:color="000000" w:fill="FF0000"/>
            <w:vAlign w:val="center"/>
            <w:hideMark/>
          </w:tcPr>
          <w:p w14:paraId="775F3B7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5,29 </w:t>
            </w:r>
          </w:p>
        </w:tc>
        <w:tc>
          <w:tcPr>
            <w:tcW w:w="1265" w:type="dxa"/>
            <w:tcBorders>
              <w:top w:val="nil"/>
              <w:left w:val="nil"/>
              <w:bottom w:val="single" w:sz="12" w:space="0" w:color="339966"/>
              <w:right w:val="nil"/>
            </w:tcBorders>
            <w:shd w:val="clear" w:color="000000" w:fill="FFFF00"/>
            <w:vAlign w:val="center"/>
            <w:hideMark/>
          </w:tcPr>
          <w:p w14:paraId="1B7A4E6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14,18%</w:t>
            </w:r>
          </w:p>
        </w:tc>
        <w:tc>
          <w:tcPr>
            <w:tcW w:w="1144" w:type="dxa"/>
            <w:tcBorders>
              <w:top w:val="nil"/>
              <w:left w:val="nil"/>
              <w:bottom w:val="single" w:sz="12" w:space="0" w:color="339966"/>
              <w:right w:val="nil"/>
            </w:tcBorders>
            <w:shd w:val="clear" w:color="000000" w:fill="92D050"/>
            <w:vAlign w:val="center"/>
            <w:hideMark/>
          </w:tcPr>
          <w:p w14:paraId="3E1F9CF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3,76%</w:t>
            </w:r>
          </w:p>
        </w:tc>
        <w:tc>
          <w:tcPr>
            <w:tcW w:w="1172" w:type="dxa"/>
            <w:tcBorders>
              <w:top w:val="nil"/>
              <w:left w:val="nil"/>
              <w:bottom w:val="single" w:sz="12" w:space="0" w:color="339966"/>
              <w:right w:val="nil"/>
            </w:tcBorders>
            <w:shd w:val="clear" w:color="000000" w:fill="FFFF00"/>
            <w:vAlign w:val="center"/>
            <w:hideMark/>
          </w:tcPr>
          <w:p w14:paraId="5DD582C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0,83</w:t>
            </w:r>
          </w:p>
        </w:tc>
        <w:tc>
          <w:tcPr>
            <w:tcW w:w="1534" w:type="dxa"/>
            <w:tcBorders>
              <w:top w:val="nil"/>
              <w:left w:val="nil"/>
              <w:bottom w:val="single" w:sz="12" w:space="0" w:color="339966"/>
              <w:right w:val="nil"/>
            </w:tcBorders>
            <w:shd w:val="clear" w:color="000000" w:fill="FFFF00"/>
            <w:vAlign w:val="center"/>
            <w:hideMark/>
          </w:tcPr>
          <w:p w14:paraId="6305E37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0,57</w:t>
            </w:r>
          </w:p>
        </w:tc>
        <w:tc>
          <w:tcPr>
            <w:tcW w:w="1221" w:type="dxa"/>
            <w:tcBorders>
              <w:top w:val="nil"/>
              <w:left w:val="nil"/>
              <w:bottom w:val="single" w:sz="12" w:space="0" w:color="339966"/>
              <w:right w:val="nil"/>
            </w:tcBorders>
            <w:shd w:val="clear" w:color="000000" w:fill="92D050"/>
            <w:vAlign w:val="center"/>
            <w:hideMark/>
          </w:tcPr>
          <w:p w14:paraId="73F4B674"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112,95%</w:t>
            </w:r>
          </w:p>
        </w:tc>
      </w:tr>
      <w:tr w:rsidR="008729F9" w:rsidRPr="008729F9" w14:paraId="1A0EBA58"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7616CE63"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Cosanpa</w:t>
            </w:r>
          </w:p>
        </w:tc>
        <w:tc>
          <w:tcPr>
            <w:tcW w:w="1169" w:type="dxa"/>
            <w:tcBorders>
              <w:top w:val="nil"/>
              <w:left w:val="nil"/>
              <w:bottom w:val="single" w:sz="12" w:space="0" w:color="339966"/>
              <w:right w:val="nil"/>
            </w:tcBorders>
            <w:shd w:val="clear" w:color="000000" w:fill="FF0000"/>
            <w:vAlign w:val="center"/>
            <w:hideMark/>
          </w:tcPr>
          <w:p w14:paraId="63F8A08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4,45 </w:t>
            </w:r>
          </w:p>
        </w:tc>
        <w:tc>
          <w:tcPr>
            <w:tcW w:w="1265" w:type="dxa"/>
            <w:tcBorders>
              <w:top w:val="nil"/>
              <w:left w:val="nil"/>
              <w:bottom w:val="single" w:sz="12" w:space="0" w:color="339966"/>
              <w:right w:val="nil"/>
            </w:tcBorders>
            <w:shd w:val="clear" w:color="000000" w:fill="92D050"/>
            <w:vAlign w:val="center"/>
            <w:hideMark/>
          </w:tcPr>
          <w:p w14:paraId="5434335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95,77%</w:t>
            </w:r>
          </w:p>
        </w:tc>
        <w:tc>
          <w:tcPr>
            <w:tcW w:w="1144" w:type="dxa"/>
            <w:tcBorders>
              <w:top w:val="nil"/>
              <w:left w:val="nil"/>
              <w:bottom w:val="single" w:sz="12" w:space="0" w:color="339966"/>
              <w:right w:val="nil"/>
            </w:tcBorders>
            <w:shd w:val="clear" w:color="000000" w:fill="FF0000"/>
            <w:vAlign w:val="center"/>
            <w:hideMark/>
          </w:tcPr>
          <w:p w14:paraId="71A25C94"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23,26%</w:t>
            </w:r>
          </w:p>
        </w:tc>
        <w:tc>
          <w:tcPr>
            <w:tcW w:w="1172" w:type="dxa"/>
            <w:tcBorders>
              <w:top w:val="nil"/>
              <w:left w:val="nil"/>
              <w:bottom w:val="single" w:sz="12" w:space="0" w:color="339966"/>
              <w:right w:val="nil"/>
            </w:tcBorders>
            <w:shd w:val="clear" w:color="000000" w:fill="FF0000"/>
            <w:vAlign w:val="center"/>
            <w:hideMark/>
          </w:tcPr>
          <w:p w14:paraId="7CC6A10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0,44</w:t>
            </w:r>
          </w:p>
        </w:tc>
        <w:tc>
          <w:tcPr>
            <w:tcW w:w="1534" w:type="dxa"/>
            <w:tcBorders>
              <w:top w:val="nil"/>
              <w:left w:val="nil"/>
              <w:bottom w:val="single" w:sz="12" w:space="0" w:color="339966"/>
              <w:right w:val="nil"/>
            </w:tcBorders>
            <w:shd w:val="clear" w:color="000000" w:fill="92D050"/>
            <w:vAlign w:val="center"/>
            <w:hideMark/>
          </w:tcPr>
          <w:p w14:paraId="6B1BC4AE"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0,44</w:t>
            </w:r>
          </w:p>
        </w:tc>
        <w:tc>
          <w:tcPr>
            <w:tcW w:w="1221" w:type="dxa"/>
            <w:tcBorders>
              <w:top w:val="nil"/>
              <w:left w:val="nil"/>
              <w:bottom w:val="single" w:sz="12" w:space="0" w:color="339966"/>
              <w:right w:val="nil"/>
            </w:tcBorders>
            <w:shd w:val="clear" w:color="000000" w:fill="FF0000"/>
            <w:vAlign w:val="center"/>
            <w:hideMark/>
          </w:tcPr>
          <w:p w14:paraId="23554A4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0,424</w:t>
            </w:r>
          </w:p>
        </w:tc>
      </w:tr>
      <w:tr w:rsidR="008729F9" w:rsidRPr="008729F9" w14:paraId="3734634C"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420F78D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Depasa</w:t>
            </w:r>
          </w:p>
        </w:tc>
        <w:tc>
          <w:tcPr>
            <w:tcW w:w="1169" w:type="dxa"/>
            <w:tcBorders>
              <w:top w:val="nil"/>
              <w:left w:val="nil"/>
              <w:bottom w:val="single" w:sz="12" w:space="0" w:color="339966"/>
              <w:right w:val="nil"/>
            </w:tcBorders>
            <w:shd w:val="clear" w:color="000000" w:fill="92D050"/>
            <w:vAlign w:val="center"/>
            <w:hideMark/>
          </w:tcPr>
          <w:p w14:paraId="669AC244"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2,06 </w:t>
            </w:r>
          </w:p>
        </w:tc>
        <w:tc>
          <w:tcPr>
            <w:tcW w:w="1265" w:type="dxa"/>
            <w:tcBorders>
              <w:top w:val="nil"/>
              <w:left w:val="nil"/>
              <w:bottom w:val="single" w:sz="12" w:space="0" w:color="339966"/>
              <w:right w:val="nil"/>
            </w:tcBorders>
            <w:shd w:val="clear" w:color="000000" w:fill="FF0000"/>
            <w:vAlign w:val="center"/>
            <w:hideMark/>
          </w:tcPr>
          <w:p w14:paraId="5A1B8A76"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NA</w:t>
            </w:r>
          </w:p>
        </w:tc>
        <w:tc>
          <w:tcPr>
            <w:tcW w:w="1144" w:type="dxa"/>
            <w:tcBorders>
              <w:top w:val="nil"/>
              <w:left w:val="nil"/>
              <w:bottom w:val="single" w:sz="12" w:space="0" w:color="339966"/>
              <w:right w:val="nil"/>
            </w:tcBorders>
            <w:shd w:val="clear" w:color="000000" w:fill="FF0000"/>
            <w:vAlign w:val="center"/>
            <w:hideMark/>
          </w:tcPr>
          <w:p w14:paraId="6D9BAFF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42,41%</w:t>
            </w:r>
          </w:p>
        </w:tc>
        <w:tc>
          <w:tcPr>
            <w:tcW w:w="1172" w:type="dxa"/>
            <w:tcBorders>
              <w:top w:val="nil"/>
              <w:left w:val="nil"/>
              <w:bottom w:val="single" w:sz="12" w:space="0" w:color="339966"/>
              <w:right w:val="nil"/>
            </w:tcBorders>
            <w:shd w:val="clear" w:color="000000" w:fill="FF0000"/>
            <w:vAlign w:val="center"/>
            <w:hideMark/>
          </w:tcPr>
          <w:p w14:paraId="08B9EA6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NA </w:t>
            </w:r>
          </w:p>
        </w:tc>
        <w:tc>
          <w:tcPr>
            <w:tcW w:w="1534" w:type="dxa"/>
            <w:tcBorders>
              <w:top w:val="nil"/>
              <w:left w:val="nil"/>
              <w:bottom w:val="single" w:sz="12" w:space="0" w:color="339966"/>
              <w:right w:val="nil"/>
            </w:tcBorders>
            <w:shd w:val="clear" w:color="000000" w:fill="FF0000"/>
            <w:vAlign w:val="center"/>
            <w:hideMark/>
          </w:tcPr>
          <w:p w14:paraId="5F612A5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NA</w:t>
            </w:r>
          </w:p>
        </w:tc>
        <w:tc>
          <w:tcPr>
            <w:tcW w:w="1221" w:type="dxa"/>
            <w:tcBorders>
              <w:top w:val="nil"/>
              <w:left w:val="nil"/>
              <w:bottom w:val="single" w:sz="12" w:space="0" w:color="339966"/>
              <w:right w:val="nil"/>
            </w:tcBorders>
            <w:shd w:val="clear" w:color="000000" w:fill="FF0000"/>
            <w:vAlign w:val="center"/>
            <w:hideMark/>
          </w:tcPr>
          <w:p w14:paraId="2DA1E75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57,52%</w:t>
            </w:r>
          </w:p>
        </w:tc>
      </w:tr>
      <w:tr w:rsidR="008729F9" w:rsidRPr="008729F9" w14:paraId="002E4181"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6FD23605"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lastRenderedPageBreak/>
              <w:t>Deso</w:t>
            </w:r>
          </w:p>
        </w:tc>
        <w:tc>
          <w:tcPr>
            <w:tcW w:w="1169" w:type="dxa"/>
            <w:tcBorders>
              <w:top w:val="nil"/>
              <w:left w:val="nil"/>
              <w:bottom w:val="single" w:sz="12" w:space="0" w:color="339966"/>
              <w:right w:val="nil"/>
            </w:tcBorders>
            <w:shd w:val="clear" w:color="000000" w:fill="FF0000"/>
            <w:vAlign w:val="center"/>
            <w:hideMark/>
          </w:tcPr>
          <w:p w14:paraId="6E6F4EB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3,93 </w:t>
            </w:r>
          </w:p>
        </w:tc>
        <w:tc>
          <w:tcPr>
            <w:tcW w:w="1265" w:type="dxa"/>
            <w:tcBorders>
              <w:top w:val="nil"/>
              <w:left w:val="nil"/>
              <w:bottom w:val="single" w:sz="12" w:space="0" w:color="339966"/>
              <w:right w:val="nil"/>
            </w:tcBorders>
            <w:shd w:val="clear" w:color="000000" w:fill="FFFF00"/>
            <w:vAlign w:val="center"/>
            <w:hideMark/>
          </w:tcPr>
          <w:p w14:paraId="3F2C51F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13,35%</w:t>
            </w:r>
          </w:p>
        </w:tc>
        <w:tc>
          <w:tcPr>
            <w:tcW w:w="1144" w:type="dxa"/>
            <w:tcBorders>
              <w:top w:val="nil"/>
              <w:left w:val="nil"/>
              <w:bottom w:val="single" w:sz="12" w:space="0" w:color="339966"/>
              <w:right w:val="nil"/>
            </w:tcBorders>
            <w:shd w:val="clear" w:color="000000" w:fill="FFFF00"/>
            <w:vAlign w:val="center"/>
            <w:hideMark/>
          </w:tcPr>
          <w:p w14:paraId="22508E0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9,37%</w:t>
            </w:r>
          </w:p>
        </w:tc>
        <w:tc>
          <w:tcPr>
            <w:tcW w:w="1172" w:type="dxa"/>
            <w:tcBorders>
              <w:top w:val="nil"/>
              <w:left w:val="nil"/>
              <w:bottom w:val="single" w:sz="12" w:space="0" w:color="339966"/>
              <w:right w:val="nil"/>
            </w:tcBorders>
            <w:shd w:val="clear" w:color="000000" w:fill="FF0000"/>
            <w:vAlign w:val="center"/>
            <w:hideMark/>
          </w:tcPr>
          <w:p w14:paraId="07665A1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0,62</w:t>
            </w:r>
          </w:p>
        </w:tc>
        <w:tc>
          <w:tcPr>
            <w:tcW w:w="1534" w:type="dxa"/>
            <w:tcBorders>
              <w:top w:val="nil"/>
              <w:left w:val="nil"/>
              <w:bottom w:val="single" w:sz="12" w:space="0" w:color="339966"/>
              <w:right w:val="nil"/>
            </w:tcBorders>
            <w:shd w:val="clear" w:color="000000" w:fill="92D050"/>
            <w:vAlign w:val="center"/>
            <w:hideMark/>
          </w:tcPr>
          <w:p w14:paraId="7C9B2E9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0,17</w:t>
            </w:r>
          </w:p>
        </w:tc>
        <w:tc>
          <w:tcPr>
            <w:tcW w:w="1221" w:type="dxa"/>
            <w:tcBorders>
              <w:top w:val="nil"/>
              <w:left w:val="nil"/>
              <w:bottom w:val="single" w:sz="12" w:space="0" w:color="339966"/>
              <w:right w:val="nil"/>
            </w:tcBorders>
            <w:shd w:val="clear" w:color="000000" w:fill="FFFF00"/>
            <w:vAlign w:val="center"/>
            <w:hideMark/>
          </w:tcPr>
          <w:p w14:paraId="6857824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97,60%</w:t>
            </w:r>
          </w:p>
        </w:tc>
      </w:tr>
      <w:tr w:rsidR="008729F9" w:rsidRPr="008729F9" w14:paraId="1C0CB3F2"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0993A59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Embasa</w:t>
            </w:r>
          </w:p>
        </w:tc>
        <w:tc>
          <w:tcPr>
            <w:tcW w:w="1169" w:type="dxa"/>
            <w:tcBorders>
              <w:top w:val="nil"/>
              <w:left w:val="nil"/>
              <w:bottom w:val="single" w:sz="12" w:space="0" w:color="339966"/>
              <w:right w:val="nil"/>
            </w:tcBorders>
            <w:shd w:val="clear" w:color="000000" w:fill="FFFF00"/>
            <w:vAlign w:val="center"/>
            <w:hideMark/>
          </w:tcPr>
          <w:p w14:paraId="00436BE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3,73 </w:t>
            </w:r>
          </w:p>
        </w:tc>
        <w:tc>
          <w:tcPr>
            <w:tcW w:w="1265" w:type="dxa"/>
            <w:tcBorders>
              <w:top w:val="nil"/>
              <w:left w:val="nil"/>
              <w:bottom w:val="single" w:sz="12" w:space="0" w:color="339966"/>
              <w:right w:val="nil"/>
            </w:tcBorders>
            <w:shd w:val="clear" w:color="000000" w:fill="FFFF00"/>
            <w:vAlign w:val="center"/>
            <w:hideMark/>
          </w:tcPr>
          <w:p w14:paraId="358EE53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17,07%</w:t>
            </w:r>
          </w:p>
        </w:tc>
        <w:tc>
          <w:tcPr>
            <w:tcW w:w="1144" w:type="dxa"/>
            <w:tcBorders>
              <w:top w:val="nil"/>
              <w:left w:val="nil"/>
              <w:bottom w:val="single" w:sz="12" w:space="0" w:color="339966"/>
              <w:right w:val="nil"/>
            </w:tcBorders>
            <w:shd w:val="clear" w:color="000000" w:fill="FFFF00"/>
            <w:vAlign w:val="center"/>
            <w:hideMark/>
          </w:tcPr>
          <w:p w14:paraId="45FCEA1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9,87%</w:t>
            </w:r>
          </w:p>
        </w:tc>
        <w:tc>
          <w:tcPr>
            <w:tcW w:w="1172" w:type="dxa"/>
            <w:tcBorders>
              <w:top w:val="nil"/>
              <w:left w:val="nil"/>
              <w:bottom w:val="single" w:sz="12" w:space="0" w:color="339966"/>
              <w:right w:val="nil"/>
            </w:tcBorders>
            <w:shd w:val="clear" w:color="000000" w:fill="92D050"/>
            <w:vAlign w:val="center"/>
            <w:hideMark/>
          </w:tcPr>
          <w:p w14:paraId="12AD7E0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1,32</w:t>
            </w:r>
          </w:p>
        </w:tc>
        <w:tc>
          <w:tcPr>
            <w:tcW w:w="1534" w:type="dxa"/>
            <w:tcBorders>
              <w:top w:val="nil"/>
              <w:left w:val="nil"/>
              <w:bottom w:val="single" w:sz="12" w:space="0" w:color="339966"/>
              <w:right w:val="nil"/>
            </w:tcBorders>
            <w:shd w:val="clear" w:color="000000" w:fill="92D050"/>
            <w:vAlign w:val="center"/>
            <w:hideMark/>
          </w:tcPr>
          <w:p w14:paraId="24C79354"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0,31</w:t>
            </w:r>
          </w:p>
        </w:tc>
        <w:tc>
          <w:tcPr>
            <w:tcW w:w="1221" w:type="dxa"/>
            <w:tcBorders>
              <w:top w:val="nil"/>
              <w:left w:val="nil"/>
              <w:bottom w:val="single" w:sz="12" w:space="0" w:color="339966"/>
              <w:right w:val="nil"/>
            </w:tcBorders>
            <w:shd w:val="clear" w:color="000000" w:fill="92D050"/>
            <w:vAlign w:val="center"/>
            <w:hideMark/>
          </w:tcPr>
          <w:p w14:paraId="176BC26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117,47%</w:t>
            </w:r>
          </w:p>
        </w:tc>
      </w:tr>
      <w:tr w:rsidR="008729F9" w:rsidRPr="008729F9" w14:paraId="7565DEFE"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2E6000F0"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Sabesp</w:t>
            </w:r>
          </w:p>
        </w:tc>
        <w:tc>
          <w:tcPr>
            <w:tcW w:w="1169" w:type="dxa"/>
            <w:tcBorders>
              <w:top w:val="nil"/>
              <w:left w:val="nil"/>
              <w:bottom w:val="single" w:sz="12" w:space="0" w:color="339966"/>
              <w:right w:val="nil"/>
            </w:tcBorders>
            <w:shd w:val="clear" w:color="000000" w:fill="92D050"/>
            <w:vAlign w:val="center"/>
            <w:hideMark/>
          </w:tcPr>
          <w:p w14:paraId="3410CF9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2,69 </w:t>
            </w:r>
          </w:p>
        </w:tc>
        <w:tc>
          <w:tcPr>
            <w:tcW w:w="1265" w:type="dxa"/>
            <w:tcBorders>
              <w:top w:val="nil"/>
              <w:left w:val="nil"/>
              <w:bottom w:val="single" w:sz="12" w:space="0" w:color="339966"/>
              <w:right w:val="nil"/>
            </w:tcBorders>
            <w:shd w:val="clear" w:color="000000" w:fill="92D050"/>
            <w:vAlign w:val="center"/>
            <w:hideMark/>
          </w:tcPr>
          <w:p w14:paraId="03F92DAD"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44,42%</w:t>
            </w:r>
          </w:p>
        </w:tc>
        <w:tc>
          <w:tcPr>
            <w:tcW w:w="1144" w:type="dxa"/>
            <w:tcBorders>
              <w:top w:val="nil"/>
              <w:left w:val="nil"/>
              <w:bottom w:val="single" w:sz="12" w:space="0" w:color="339966"/>
              <w:right w:val="nil"/>
            </w:tcBorders>
            <w:shd w:val="clear" w:color="000000" w:fill="92D050"/>
            <w:vAlign w:val="center"/>
            <w:hideMark/>
          </w:tcPr>
          <w:p w14:paraId="0959FA7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3,82%</w:t>
            </w:r>
          </w:p>
        </w:tc>
        <w:tc>
          <w:tcPr>
            <w:tcW w:w="1172" w:type="dxa"/>
            <w:tcBorders>
              <w:top w:val="nil"/>
              <w:left w:val="nil"/>
              <w:bottom w:val="single" w:sz="12" w:space="0" w:color="339966"/>
              <w:right w:val="nil"/>
            </w:tcBorders>
            <w:shd w:val="clear" w:color="000000" w:fill="FFFF00"/>
            <w:vAlign w:val="center"/>
            <w:hideMark/>
          </w:tcPr>
          <w:p w14:paraId="5BE9D4E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0,92</w:t>
            </w:r>
          </w:p>
        </w:tc>
        <w:tc>
          <w:tcPr>
            <w:tcW w:w="1534" w:type="dxa"/>
            <w:tcBorders>
              <w:top w:val="nil"/>
              <w:left w:val="nil"/>
              <w:bottom w:val="single" w:sz="12" w:space="0" w:color="339966"/>
              <w:right w:val="nil"/>
            </w:tcBorders>
            <w:shd w:val="clear" w:color="000000" w:fill="FF0000"/>
            <w:vAlign w:val="center"/>
            <w:hideMark/>
          </w:tcPr>
          <w:p w14:paraId="3498CA6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0,59</w:t>
            </w:r>
          </w:p>
        </w:tc>
        <w:tc>
          <w:tcPr>
            <w:tcW w:w="1221" w:type="dxa"/>
            <w:tcBorders>
              <w:top w:val="nil"/>
              <w:left w:val="nil"/>
              <w:bottom w:val="single" w:sz="12" w:space="0" w:color="339966"/>
              <w:right w:val="nil"/>
            </w:tcBorders>
            <w:shd w:val="clear" w:color="000000" w:fill="92D050"/>
            <w:vAlign w:val="center"/>
            <w:hideMark/>
          </w:tcPr>
          <w:p w14:paraId="6499A54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125,75%</w:t>
            </w:r>
          </w:p>
        </w:tc>
      </w:tr>
      <w:tr w:rsidR="008729F9" w:rsidRPr="008729F9" w14:paraId="5093DDE5"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6028A671"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Saneago</w:t>
            </w:r>
          </w:p>
        </w:tc>
        <w:tc>
          <w:tcPr>
            <w:tcW w:w="1169" w:type="dxa"/>
            <w:tcBorders>
              <w:top w:val="nil"/>
              <w:left w:val="nil"/>
              <w:bottom w:val="single" w:sz="12" w:space="0" w:color="339966"/>
              <w:right w:val="nil"/>
            </w:tcBorders>
            <w:shd w:val="clear" w:color="000000" w:fill="FF0000"/>
            <w:vAlign w:val="center"/>
            <w:hideMark/>
          </w:tcPr>
          <w:p w14:paraId="128613B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5,21 </w:t>
            </w:r>
          </w:p>
        </w:tc>
        <w:tc>
          <w:tcPr>
            <w:tcW w:w="1265" w:type="dxa"/>
            <w:tcBorders>
              <w:top w:val="nil"/>
              <w:left w:val="nil"/>
              <w:bottom w:val="single" w:sz="12" w:space="0" w:color="339966"/>
              <w:right w:val="nil"/>
            </w:tcBorders>
            <w:shd w:val="clear" w:color="000000" w:fill="FF0000"/>
            <w:vAlign w:val="center"/>
            <w:hideMark/>
          </w:tcPr>
          <w:p w14:paraId="3CB03FE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5,01%</w:t>
            </w:r>
          </w:p>
        </w:tc>
        <w:tc>
          <w:tcPr>
            <w:tcW w:w="1144" w:type="dxa"/>
            <w:tcBorders>
              <w:top w:val="nil"/>
              <w:left w:val="nil"/>
              <w:bottom w:val="single" w:sz="12" w:space="0" w:color="339966"/>
              <w:right w:val="nil"/>
            </w:tcBorders>
            <w:shd w:val="clear" w:color="000000" w:fill="92D050"/>
            <w:vAlign w:val="center"/>
            <w:hideMark/>
          </w:tcPr>
          <w:p w14:paraId="50917A7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0,23%</w:t>
            </w:r>
          </w:p>
        </w:tc>
        <w:tc>
          <w:tcPr>
            <w:tcW w:w="1172" w:type="dxa"/>
            <w:tcBorders>
              <w:top w:val="nil"/>
              <w:left w:val="nil"/>
              <w:bottom w:val="single" w:sz="12" w:space="0" w:color="339966"/>
              <w:right w:val="nil"/>
            </w:tcBorders>
            <w:shd w:val="clear" w:color="000000" w:fill="FFFF00"/>
            <w:vAlign w:val="center"/>
            <w:hideMark/>
          </w:tcPr>
          <w:p w14:paraId="7814A58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0,65</w:t>
            </w:r>
          </w:p>
        </w:tc>
        <w:tc>
          <w:tcPr>
            <w:tcW w:w="1534" w:type="dxa"/>
            <w:tcBorders>
              <w:top w:val="nil"/>
              <w:left w:val="nil"/>
              <w:bottom w:val="single" w:sz="12" w:space="0" w:color="339966"/>
              <w:right w:val="nil"/>
            </w:tcBorders>
            <w:shd w:val="clear" w:color="000000" w:fill="FFFF00"/>
            <w:vAlign w:val="center"/>
            <w:hideMark/>
          </w:tcPr>
          <w:p w14:paraId="4B1F655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0,48</w:t>
            </w:r>
          </w:p>
        </w:tc>
        <w:tc>
          <w:tcPr>
            <w:tcW w:w="1221" w:type="dxa"/>
            <w:tcBorders>
              <w:top w:val="nil"/>
              <w:left w:val="nil"/>
              <w:bottom w:val="single" w:sz="12" w:space="0" w:color="339966"/>
              <w:right w:val="nil"/>
            </w:tcBorders>
            <w:shd w:val="clear" w:color="000000" w:fill="FF0000"/>
            <w:vAlign w:val="center"/>
            <w:hideMark/>
          </w:tcPr>
          <w:p w14:paraId="0E7F9C1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66,82%</w:t>
            </w:r>
          </w:p>
        </w:tc>
      </w:tr>
      <w:tr w:rsidR="008729F9" w:rsidRPr="008729F9" w14:paraId="6486F8D4"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53B4753A"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val="es-CO" w:eastAsia="es-CO"/>
              </w:rPr>
              <w:t>Saneatins</w:t>
            </w:r>
          </w:p>
        </w:tc>
        <w:tc>
          <w:tcPr>
            <w:tcW w:w="1169" w:type="dxa"/>
            <w:tcBorders>
              <w:top w:val="nil"/>
              <w:left w:val="nil"/>
              <w:bottom w:val="single" w:sz="12" w:space="0" w:color="339966"/>
              <w:right w:val="nil"/>
            </w:tcBorders>
            <w:shd w:val="clear" w:color="000000" w:fill="FFFF00"/>
            <w:vAlign w:val="center"/>
            <w:hideMark/>
          </w:tcPr>
          <w:p w14:paraId="4D02268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val="es-CO" w:eastAsia="es-CO"/>
              </w:rPr>
              <w:t xml:space="preserve"> R$      3,51 </w:t>
            </w:r>
          </w:p>
        </w:tc>
        <w:tc>
          <w:tcPr>
            <w:tcW w:w="1265" w:type="dxa"/>
            <w:tcBorders>
              <w:top w:val="nil"/>
              <w:left w:val="nil"/>
              <w:bottom w:val="single" w:sz="12" w:space="0" w:color="339966"/>
              <w:right w:val="nil"/>
            </w:tcBorders>
            <w:shd w:val="clear" w:color="000000" w:fill="92D050"/>
            <w:vAlign w:val="center"/>
            <w:hideMark/>
          </w:tcPr>
          <w:p w14:paraId="668C2D67"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val="es-CO" w:eastAsia="es-CO"/>
              </w:rPr>
              <w:t>20,58%</w:t>
            </w:r>
          </w:p>
        </w:tc>
        <w:tc>
          <w:tcPr>
            <w:tcW w:w="1144" w:type="dxa"/>
            <w:tcBorders>
              <w:top w:val="nil"/>
              <w:left w:val="nil"/>
              <w:bottom w:val="single" w:sz="12" w:space="0" w:color="339966"/>
              <w:right w:val="nil"/>
            </w:tcBorders>
            <w:shd w:val="clear" w:color="000000" w:fill="FFFF00"/>
            <w:vAlign w:val="center"/>
            <w:hideMark/>
          </w:tcPr>
          <w:p w14:paraId="2AB6C301"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val="es-CO" w:eastAsia="es-CO"/>
              </w:rPr>
              <w:t>7,15%</w:t>
            </w:r>
          </w:p>
        </w:tc>
        <w:tc>
          <w:tcPr>
            <w:tcW w:w="1172" w:type="dxa"/>
            <w:tcBorders>
              <w:top w:val="nil"/>
              <w:left w:val="nil"/>
              <w:bottom w:val="single" w:sz="12" w:space="0" w:color="339966"/>
              <w:right w:val="nil"/>
            </w:tcBorders>
            <w:shd w:val="clear" w:color="000000" w:fill="FFFF00"/>
            <w:vAlign w:val="center"/>
            <w:hideMark/>
          </w:tcPr>
          <w:p w14:paraId="4063B72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val="es-CO" w:eastAsia="es-CO"/>
              </w:rPr>
              <w:t xml:space="preserve">            1,09 </w:t>
            </w:r>
          </w:p>
        </w:tc>
        <w:tc>
          <w:tcPr>
            <w:tcW w:w="1534" w:type="dxa"/>
            <w:tcBorders>
              <w:top w:val="nil"/>
              <w:left w:val="nil"/>
              <w:bottom w:val="single" w:sz="12" w:space="0" w:color="339966"/>
              <w:right w:val="nil"/>
            </w:tcBorders>
            <w:shd w:val="clear" w:color="000000" w:fill="FF0000"/>
            <w:vAlign w:val="center"/>
            <w:hideMark/>
          </w:tcPr>
          <w:p w14:paraId="4C756EEA"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val="es-CO" w:eastAsia="es-CO"/>
              </w:rPr>
              <w:t>0,96</w:t>
            </w:r>
          </w:p>
        </w:tc>
        <w:tc>
          <w:tcPr>
            <w:tcW w:w="1221" w:type="dxa"/>
            <w:tcBorders>
              <w:top w:val="nil"/>
              <w:left w:val="nil"/>
              <w:bottom w:val="single" w:sz="12" w:space="0" w:color="339966"/>
              <w:right w:val="nil"/>
            </w:tcBorders>
            <w:shd w:val="clear" w:color="000000" w:fill="FF0000"/>
            <w:vAlign w:val="center"/>
            <w:hideMark/>
          </w:tcPr>
          <w:p w14:paraId="502CDF7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val="es-CO" w:eastAsia="es-CO"/>
              </w:rPr>
              <w:t>76,75%</w:t>
            </w:r>
          </w:p>
        </w:tc>
      </w:tr>
      <w:tr w:rsidR="008729F9" w:rsidRPr="008729F9" w14:paraId="11279614"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auto" w:fill="auto"/>
            <w:vAlign w:val="center"/>
            <w:hideMark/>
          </w:tcPr>
          <w:p w14:paraId="2904DA39"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Sanepar</w:t>
            </w:r>
          </w:p>
        </w:tc>
        <w:tc>
          <w:tcPr>
            <w:tcW w:w="1169" w:type="dxa"/>
            <w:tcBorders>
              <w:top w:val="nil"/>
              <w:left w:val="nil"/>
              <w:bottom w:val="single" w:sz="12" w:space="0" w:color="339966"/>
              <w:right w:val="nil"/>
            </w:tcBorders>
            <w:shd w:val="clear" w:color="000000" w:fill="92D050"/>
            <w:vAlign w:val="center"/>
            <w:hideMark/>
          </w:tcPr>
          <w:p w14:paraId="3A34843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2,89 </w:t>
            </w:r>
          </w:p>
        </w:tc>
        <w:tc>
          <w:tcPr>
            <w:tcW w:w="1265" w:type="dxa"/>
            <w:tcBorders>
              <w:top w:val="nil"/>
              <w:left w:val="nil"/>
              <w:bottom w:val="single" w:sz="12" w:space="0" w:color="339966"/>
              <w:right w:val="nil"/>
            </w:tcBorders>
            <w:shd w:val="clear" w:color="000000" w:fill="92D050"/>
            <w:vAlign w:val="center"/>
            <w:hideMark/>
          </w:tcPr>
          <w:p w14:paraId="0BC00A3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24,72%</w:t>
            </w:r>
          </w:p>
        </w:tc>
        <w:tc>
          <w:tcPr>
            <w:tcW w:w="1144" w:type="dxa"/>
            <w:tcBorders>
              <w:top w:val="nil"/>
              <w:left w:val="nil"/>
              <w:bottom w:val="single" w:sz="12" w:space="0" w:color="339966"/>
              <w:right w:val="nil"/>
            </w:tcBorders>
            <w:shd w:val="clear" w:color="000000" w:fill="92D050"/>
            <w:vAlign w:val="center"/>
            <w:hideMark/>
          </w:tcPr>
          <w:p w14:paraId="6154C595"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-0,27%</w:t>
            </w:r>
          </w:p>
        </w:tc>
        <w:tc>
          <w:tcPr>
            <w:tcW w:w="1172" w:type="dxa"/>
            <w:tcBorders>
              <w:top w:val="nil"/>
              <w:left w:val="nil"/>
              <w:bottom w:val="single" w:sz="12" w:space="0" w:color="339966"/>
              <w:right w:val="nil"/>
            </w:tcBorders>
            <w:shd w:val="clear" w:color="000000" w:fill="FFFF00"/>
            <w:vAlign w:val="center"/>
            <w:hideMark/>
          </w:tcPr>
          <w:p w14:paraId="0C2CCAA9"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w:t>
            </w:r>
          </w:p>
        </w:tc>
        <w:tc>
          <w:tcPr>
            <w:tcW w:w="1534" w:type="dxa"/>
            <w:tcBorders>
              <w:top w:val="nil"/>
              <w:left w:val="nil"/>
              <w:bottom w:val="single" w:sz="12" w:space="0" w:color="339966"/>
              <w:right w:val="nil"/>
            </w:tcBorders>
            <w:shd w:val="clear" w:color="000000" w:fill="FFFF00"/>
            <w:vAlign w:val="center"/>
            <w:hideMark/>
          </w:tcPr>
          <w:p w14:paraId="2D676D9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0,49</w:t>
            </w:r>
          </w:p>
        </w:tc>
        <w:tc>
          <w:tcPr>
            <w:tcW w:w="1221" w:type="dxa"/>
            <w:tcBorders>
              <w:top w:val="nil"/>
              <w:left w:val="nil"/>
              <w:bottom w:val="single" w:sz="12" w:space="0" w:color="339966"/>
              <w:right w:val="nil"/>
            </w:tcBorders>
            <w:shd w:val="clear" w:color="000000" w:fill="92D050"/>
            <w:vAlign w:val="center"/>
            <w:hideMark/>
          </w:tcPr>
          <w:p w14:paraId="73E41C88"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114,43%</w:t>
            </w:r>
          </w:p>
        </w:tc>
      </w:tr>
      <w:tr w:rsidR="008729F9" w:rsidRPr="008729F9" w14:paraId="77A3E2AF" w14:textId="77777777" w:rsidTr="00EA348F">
        <w:trPr>
          <w:trHeight w:val="300"/>
          <w:jc w:val="center"/>
        </w:trPr>
        <w:tc>
          <w:tcPr>
            <w:tcW w:w="1175" w:type="dxa"/>
            <w:tcBorders>
              <w:top w:val="nil"/>
              <w:left w:val="single" w:sz="8" w:space="0" w:color="93D07C"/>
              <w:bottom w:val="single" w:sz="8" w:space="0" w:color="93D07C"/>
              <w:right w:val="single" w:sz="8" w:space="0" w:color="93D07C"/>
            </w:tcBorders>
            <w:shd w:val="clear" w:color="000000" w:fill="DAEFD3"/>
            <w:vAlign w:val="center"/>
            <w:hideMark/>
          </w:tcPr>
          <w:p w14:paraId="36B53CBB" w14:textId="77777777" w:rsidR="008729F9" w:rsidRPr="008729F9" w:rsidRDefault="008729F9" w:rsidP="008729F9">
            <w:pPr>
              <w:spacing w:before="0" w:beforeAutospacing="0" w:after="0" w:afterAutospacing="0" w:line="240" w:lineRule="auto"/>
              <w:ind w:firstLine="0"/>
              <w:jc w:val="left"/>
              <w:rPr>
                <w:color w:val="000000"/>
                <w:sz w:val="22"/>
                <w:lang w:val="es-CO" w:eastAsia="es-CO"/>
              </w:rPr>
            </w:pPr>
            <w:r w:rsidRPr="008729F9">
              <w:rPr>
                <w:color w:val="000000"/>
                <w:sz w:val="22"/>
                <w:lang w:eastAsia="es-CO"/>
              </w:rPr>
              <w:t>Sanesul</w:t>
            </w:r>
          </w:p>
        </w:tc>
        <w:tc>
          <w:tcPr>
            <w:tcW w:w="1169" w:type="dxa"/>
            <w:tcBorders>
              <w:top w:val="nil"/>
              <w:left w:val="nil"/>
              <w:bottom w:val="single" w:sz="12" w:space="0" w:color="339966"/>
              <w:right w:val="nil"/>
            </w:tcBorders>
            <w:shd w:val="clear" w:color="000000" w:fill="92D050"/>
            <w:vAlign w:val="center"/>
            <w:hideMark/>
          </w:tcPr>
          <w:p w14:paraId="61E7A60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 xml:space="preserve"> R$      3,23 </w:t>
            </w:r>
          </w:p>
        </w:tc>
        <w:tc>
          <w:tcPr>
            <w:tcW w:w="1265" w:type="dxa"/>
            <w:tcBorders>
              <w:top w:val="nil"/>
              <w:left w:val="nil"/>
              <w:bottom w:val="single" w:sz="12" w:space="0" w:color="339966"/>
              <w:right w:val="nil"/>
            </w:tcBorders>
            <w:shd w:val="clear" w:color="000000" w:fill="FFFF00"/>
            <w:vAlign w:val="center"/>
            <w:hideMark/>
          </w:tcPr>
          <w:p w14:paraId="0ED84690"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17,71%</w:t>
            </w:r>
          </w:p>
        </w:tc>
        <w:tc>
          <w:tcPr>
            <w:tcW w:w="1144" w:type="dxa"/>
            <w:tcBorders>
              <w:top w:val="nil"/>
              <w:left w:val="nil"/>
              <w:bottom w:val="single" w:sz="12" w:space="0" w:color="339966"/>
              <w:right w:val="nil"/>
            </w:tcBorders>
            <w:shd w:val="clear" w:color="000000" w:fill="FFFF00"/>
            <w:vAlign w:val="center"/>
            <w:hideMark/>
          </w:tcPr>
          <w:p w14:paraId="1A17BFC2"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5,65%</w:t>
            </w:r>
          </w:p>
        </w:tc>
        <w:tc>
          <w:tcPr>
            <w:tcW w:w="1172" w:type="dxa"/>
            <w:tcBorders>
              <w:top w:val="nil"/>
              <w:left w:val="nil"/>
              <w:bottom w:val="single" w:sz="12" w:space="0" w:color="339966"/>
              <w:right w:val="nil"/>
            </w:tcBorders>
            <w:shd w:val="clear" w:color="000000" w:fill="92D050"/>
            <w:vAlign w:val="center"/>
            <w:hideMark/>
          </w:tcPr>
          <w:p w14:paraId="1C2426DB"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1,12</w:t>
            </w:r>
          </w:p>
        </w:tc>
        <w:tc>
          <w:tcPr>
            <w:tcW w:w="1534" w:type="dxa"/>
            <w:tcBorders>
              <w:top w:val="nil"/>
              <w:left w:val="nil"/>
              <w:bottom w:val="single" w:sz="12" w:space="0" w:color="339966"/>
              <w:right w:val="nil"/>
            </w:tcBorders>
            <w:shd w:val="clear" w:color="000000" w:fill="92D050"/>
            <w:vAlign w:val="center"/>
            <w:hideMark/>
          </w:tcPr>
          <w:p w14:paraId="31F36DEF"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0,29</w:t>
            </w:r>
          </w:p>
        </w:tc>
        <w:tc>
          <w:tcPr>
            <w:tcW w:w="1221" w:type="dxa"/>
            <w:tcBorders>
              <w:top w:val="nil"/>
              <w:left w:val="nil"/>
              <w:bottom w:val="single" w:sz="12" w:space="0" w:color="339966"/>
              <w:right w:val="nil"/>
            </w:tcBorders>
            <w:shd w:val="clear" w:color="000000" w:fill="92D050"/>
            <w:vAlign w:val="center"/>
            <w:hideMark/>
          </w:tcPr>
          <w:p w14:paraId="62CD4383" w14:textId="77777777" w:rsidR="008729F9" w:rsidRPr="008729F9" w:rsidRDefault="008729F9" w:rsidP="008729F9">
            <w:pPr>
              <w:spacing w:before="0" w:beforeAutospacing="0" w:after="0" w:afterAutospacing="0" w:line="240" w:lineRule="auto"/>
              <w:ind w:firstLine="0"/>
              <w:jc w:val="right"/>
              <w:rPr>
                <w:color w:val="000000"/>
                <w:sz w:val="22"/>
                <w:lang w:val="es-CO" w:eastAsia="es-CO"/>
              </w:rPr>
            </w:pPr>
            <w:r w:rsidRPr="008729F9">
              <w:rPr>
                <w:color w:val="000000"/>
                <w:sz w:val="22"/>
                <w:lang w:eastAsia="es-CO"/>
              </w:rPr>
              <w:t>116,41%</w:t>
            </w:r>
          </w:p>
        </w:tc>
      </w:tr>
    </w:tbl>
    <w:p w14:paraId="09C17E94" w14:textId="79AC803D" w:rsidR="008729F9" w:rsidRPr="00272793" w:rsidRDefault="00F02E61" w:rsidP="00EA348F">
      <w:pPr>
        <w:ind w:firstLine="0"/>
      </w:pPr>
      <w:r w:rsidRPr="00042F25">
        <w:rPr>
          <w:sz w:val="20"/>
        </w:rPr>
        <w:t>FONTE: SNIS 2015. ELABORADO POR: GO ASSOCIADOS</w:t>
      </w:r>
    </w:p>
    <w:p w14:paraId="4470CFAB" w14:textId="1144933E" w:rsidR="00F3739F" w:rsidRPr="00042F25" w:rsidRDefault="00F3739F" w:rsidP="00EA348F">
      <w:pPr>
        <w:pStyle w:val="Descripcin"/>
        <w:spacing w:before="0" w:beforeAutospacing="0"/>
        <w:jc w:val="left"/>
      </w:pPr>
    </w:p>
    <w:p w14:paraId="15162088" w14:textId="3509CD24" w:rsidR="007E5AD8" w:rsidRPr="00042F25" w:rsidRDefault="007E5AD8" w:rsidP="00C71C89">
      <w:pPr>
        <w:pStyle w:val="Ttulo2"/>
        <w:ind w:left="1427"/>
      </w:pPr>
      <w:bookmarkStart w:id="43" w:name="_Toc493094932"/>
      <w:r w:rsidRPr="00042F25">
        <w:t xml:space="preserve">Índice de </w:t>
      </w:r>
      <w:r w:rsidR="00436C4E" w:rsidRPr="00042F25">
        <w:t>despesa total com serviços</w:t>
      </w:r>
      <w:bookmarkEnd w:id="43"/>
    </w:p>
    <w:p w14:paraId="318BDFF2" w14:textId="60A7F6C2" w:rsidR="007E5AD8" w:rsidRPr="00042F25" w:rsidRDefault="007E5AD8" w:rsidP="00146208">
      <w:r w:rsidRPr="00042F25">
        <w:t xml:space="preserve">O índice de </w:t>
      </w:r>
      <w:r w:rsidR="009511AC" w:rsidRPr="00042F25">
        <w:t>despesa total com os serviços por m</w:t>
      </w:r>
      <w:r w:rsidR="009511AC" w:rsidRPr="00042F25">
        <w:rPr>
          <w:vertAlign w:val="superscript"/>
        </w:rPr>
        <w:t>3</w:t>
      </w:r>
      <w:r w:rsidR="009511AC" w:rsidRPr="00042F25">
        <w:t xml:space="preserve"> faturado (IN003)</w:t>
      </w:r>
      <w:r w:rsidR="00BF6582" w:rsidRPr="00042F25">
        <w:t>, expresso em</w:t>
      </w:r>
      <w:r w:rsidR="009511AC" w:rsidRPr="00042F25">
        <w:t xml:space="preserve"> R$/m</w:t>
      </w:r>
      <w:r w:rsidR="009511AC" w:rsidRPr="00042F25">
        <w:rPr>
          <w:vertAlign w:val="superscript"/>
        </w:rPr>
        <w:t>3</w:t>
      </w:r>
      <w:r w:rsidR="009511AC" w:rsidRPr="00042F25">
        <w:t>, usa o volume de água faturado (AG011), o volume de esgotos faturado (ES007)</w:t>
      </w:r>
      <w:r w:rsidRPr="00042F25">
        <w:t xml:space="preserve"> </w:t>
      </w:r>
      <w:r w:rsidR="009511AC" w:rsidRPr="00042F25">
        <w:t>e as despesas to</w:t>
      </w:r>
      <w:r w:rsidR="00164A96" w:rsidRPr="00042F25">
        <w:t>tais com os serviços (FN017</w:t>
      </w:r>
      <w:r w:rsidRPr="00042F25">
        <w:t xml:space="preserve">) para o seu cálculo: </w:t>
      </w:r>
    </w:p>
    <w:p w14:paraId="5722179A" w14:textId="4CA74D16" w:rsidR="00B25CFC" w:rsidRPr="00042F25" w:rsidRDefault="007E5AD8" w:rsidP="00114CDA">
      <w:pPr>
        <w:jc w:val="center"/>
      </w:pPr>
      <m:oMathPara>
        <m:oMath>
          <m:r>
            <w:rPr>
              <w:rFonts w:ascii="Cambria Math" w:hAnsi="Cambria Math"/>
            </w:rPr>
            <m:t xml:space="preserve">IN003= </m:t>
          </m:r>
          <m:f>
            <m:fPr>
              <m:ctrlPr>
                <w:rPr>
                  <w:rFonts w:ascii="Cambria Math" w:hAnsi="Cambria Math"/>
                  <w:i/>
                </w:rPr>
              </m:ctrlPr>
            </m:fPr>
            <m:num>
              <m:r>
                <w:rPr>
                  <w:rFonts w:ascii="Cambria Math" w:hAnsi="Cambria Math"/>
                </w:rPr>
                <m:t>FN017</m:t>
              </m:r>
            </m:num>
            <m:den>
              <m:r>
                <w:rPr>
                  <w:rFonts w:ascii="Cambria Math" w:hAnsi="Cambria Math"/>
                </w:rPr>
                <m:t>AG011+ES007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m:t>
              </m:r>
            </m:den>
          </m:f>
        </m:oMath>
      </m:oMathPara>
    </w:p>
    <w:p w14:paraId="28199A8C" w14:textId="77777777" w:rsidR="00CD3146" w:rsidRDefault="00581EC6" w:rsidP="00146208">
      <w:r w:rsidRPr="00042F25">
        <w:t xml:space="preserve">Este índice mostra o valor anual total do conjunto das despesas realizadas para a prestação dos serviços em relação ao volume faturado de água e esgoto. As despesas realizadas </w:t>
      </w:r>
      <w:r w:rsidR="00254892" w:rsidRPr="00042F25">
        <w:t>compreendem</w:t>
      </w:r>
      <w:r w:rsidRPr="00042F25">
        <w:t xml:space="preserve"> despesas de exploração, despesas com juros e encargos das dívidas, despesas com depreciação, amortização do ativo diferido e provisão para devedores duvidosos, além de outras despesas com os serviços. </w:t>
      </w:r>
    </w:p>
    <w:p w14:paraId="70091438" w14:textId="1173912E" w:rsidR="007E5AD8" w:rsidRPr="00042F25" w:rsidRDefault="007E5AD8" w:rsidP="00146208">
      <w:r w:rsidRPr="00042F25">
        <w:t>A evolução deste índice de 2010 a 2015 nas Companhias Es</w:t>
      </w:r>
      <w:r w:rsidR="00581EC6" w:rsidRPr="00042F25">
        <w:t>taduais de Saneamento Básico mostra</w:t>
      </w:r>
      <w:r w:rsidR="00CD3146">
        <w:t xml:space="preserve"> em média estabilidade nas despesas unitárias</w:t>
      </w:r>
      <w:r w:rsidR="00581EC6" w:rsidRPr="00042F25">
        <w:t>.</w:t>
      </w:r>
      <w:r w:rsidR="00CD3146">
        <w:t xml:space="preserve"> Em 2015 a média da amostra foi R$ 3,71 metro cubico faturado, com baixa dispersão (mínimo R$ 2,06 metro cubico faturado </w:t>
      </w:r>
      <w:r w:rsidR="00FE6784">
        <w:t>e máximo</w:t>
      </w:r>
      <w:r w:rsidR="00CD3146">
        <w:t xml:space="preserve"> R$ 5,55 metro cubico faturado).</w:t>
      </w:r>
    </w:p>
    <w:p w14:paraId="63B2DAFE" w14:textId="7E452797" w:rsidR="00214B39" w:rsidRDefault="00214B39" w:rsidP="00214B39">
      <w:pPr>
        <w:pStyle w:val="Descripcin"/>
      </w:pPr>
      <w:bookmarkStart w:id="44" w:name="_Toc493222487"/>
      <w:r w:rsidRPr="00042F25">
        <w:t xml:space="preserve">Quadro </w:t>
      </w:r>
      <w:fldSimple w:instr=" SEQ Quadro \* ARABIC ">
        <w:r w:rsidR="00B64D1C" w:rsidRPr="00042F25">
          <w:rPr>
            <w:noProof/>
          </w:rPr>
          <w:t>24</w:t>
        </w:r>
      </w:fldSimple>
      <w:r w:rsidRPr="00042F25">
        <w:t xml:space="preserve"> – </w:t>
      </w:r>
      <w:r w:rsidR="007E5AD8" w:rsidRPr="00042F25">
        <w:t xml:space="preserve">Índice de </w:t>
      </w:r>
      <w:r w:rsidR="00436C4E" w:rsidRPr="00042F25">
        <w:t>Despesa</w:t>
      </w:r>
      <w:r w:rsidR="00F3739F" w:rsidRPr="00042F25">
        <w:t xml:space="preserve"> Total com Serviços por m</w:t>
      </w:r>
      <w:r w:rsidR="00F3739F" w:rsidRPr="00042F25">
        <w:rPr>
          <w:vertAlign w:val="superscript"/>
        </w:rPr>
        <w:t>3</w:t>
      </w:r>
      <w:r w:rsidR="00F3739F" w:rsidRPr="00042F25">
        <w:t xml:space="preserve"> Faturado</w:t>
      </w:r>
      <w:r w:rsidR="007E5AD8" w:rsidRPr="00042F25">
        <w:t xml:space="preserve"> </w:t>
      </w:r>
      <w:r w:rsidR="00F3739F" w:rsidRPr="00042F25">
        <w:t>(</w:t>
      </w:r>
      <w:r w:rsidR="007E5AD8" w:rsidRPr="00042F25">
        <w:t>IN00</w:t>
      </w:r>
      <w:r w:rsidR="00F3739F" w:rsidRPr="00042F25">
        <w:t>3)</w:t>
      </w:r>
      <w:bookmarkEnd w:id="44"/>
    </w:p>
    <w:tbl>
      <w:tblPr>
        <w:tblStyle w:val="Tabladecuadrcula4-nfasis11"/>
        <w:tblW w:w="9678" w:type="dxa"/>
        <w:jc w:val="center"/>
        <w:tblLook w:val="04A0" w:firstRow="1" w:lastRow="0" w:firstColumn="1" w:lastColumn="0" w:noHBand="0" w:noVBand="1"/>
      </w:tblPr>
      <w:tblGrid>
        <w:gridCol w:w="1231"/>
        <w:gridCol w:w="1426"/>
        <w:gridCol w:w="1426"/>
        <w:gridCol w:w="1426"/>
        <w:gridCol w:w="1414"/>
        <w:gridCol w:w="1329"/>
        <w:gridCol w:w="1426"/>
      </w:tblGrid>
      <w:tr w:rsidR="00F02E61" w:rsidRPr="00F02E61" w14:paraId="2D178E66" w14:textId="77777777" w:rsidTr="00EA348F">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88EF1BD" w14:textId="77777777" w:rsidR="00F02E61" w:rsidRPr="00EA348F" w:rsidRDefault="00F02E61" w:rsidP="00F02E61">
            <w:pPr>
              <w:spacing w:before="0" w:beforeAutospacing="0" w:after="0" w:afterAutospacing="0" w:line="240" w:lineRule="auto"/>
              <w:ind w:firstLine="0"/>
              <w:jc w:val="left"/>
              <w:rPr>
                <w:b w:val="0"/>
                <w:bCs w:val="0"/>
                <w:color w:val="FFFFFF"/>
                <w:sz w:val="22"/>
                <w:lang w:eastAsia="es-CO"/>
              </w:rPr>
            </w:pPr>
            <w:r w:rsidRPr="00F02E61">
              <w:rPr>
                <w:b w:val="0"/>
                <w:bCs w:val="0"/>
                <w:color w:val="FFFFFF"/>
                <w:sz w:val="22"/>
                <w:lang w:eastAsia="es-CO"/>
              </w:rPr>
              <w:t>Empresa</w:t>
            </w:r>
          </w:p>
        </w:tc>
        <w:tc>
          <w:tcPr>
            <w:tcW w:w="1426" w:type="dxa"/>
            <w:hideMark/>
          </w:tcPr>
          <w:p w14:paraId="7EDCBA05" w14:textId="77777777" w:rsidR="00F02E61" w:rsidRPr="00EA348F"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eastAsia="es-CO"/>
              </w:rPr>
            </w:pPr>
            <w:r w:rsidRPr="00F02E61">
              <w:rPr>
                <w:b w:val="0"/>
                <w:bCs w:val="0"/>
                <w:color w:val="FFFFFF"/>
                <w:sz w:val="22"/>
                <w:lang w:eastAsia="es-CO"/>
              </w:rPr>
              <w:t>2010</w:t>
            </w:r>
          </w:p>
        </w:tc>
        <w:tc>
          <w:tcPr>
            <w:tcW w:w="1426" w:type="dxa"/>
            <w:hideMark/>
          </w:tcPr>
          <w:p w14:paraId="74D95443" w14:textId="77777777" w:rsidR="00F02E61" w:rsidRPr="00EA348F"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eastAsia="es-CO"/>
              </w:rPr>
            </w:pPr>
            <w:r w:rsidRPr="00F02E61">
              <w:rPr>
                <w:b w:val="0"/>
                <w:bCs w:val="0"/>
                <w:color w:val="FFFFFF"/>
                <w:sz w:val="22"/>
                <w:lang w:eastAsia="es-CO"/>
              </w:rPr>
              <w:t>2011</w:t>
            </w:r>
          </w:p>
        </w:tc>
        <w:tc>
          <w:tcPr>
            <w:tcW w:w="1426" w:type="dxa"/>
            <w:hideMark/>
          </w:tcPr>
          <w:p w14:paraId="508297AF" w14:textId="77777777" w:rsidR="00F02E61" w:rsidRPr="00EA348F"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eastAsia="es-CO"/>
              </w:rPr>
            </w:pPr>
            <w:r w:rsidRPr="00F02E61">
              <w:rPr>
                <w:b w:val="0"/>
                <w:bCs w:val="0"/>
                <w:color w:val="FFFFFF"/>
                <w:sz w:val="22"/>
                <w:lang w:eastAsia="es-CO"/>
              </w:rPr>
              <w:t>2012</w:t>
            </w:r>
          </w:p>
        </w:tc>
        <w:tc>
          <w:tcPr>
            <w:tcW w:w="1414" w:type="dxa"/>
            <w:hideMark/>
          </w:tcPr>
          <w:p w14:paraId="3D01EC77" w14:textId="77777777" w:rsidR="00F02E61" w:rsidRPr="00EA348F"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eastAsia="es-CO"/>
              </w:rPr>
            </w:pPr>
            <w:r w:rsidRPr="00F02E61">
              <w:rPr>
                <w:b w:val="0"/>
                <w:bCs w:val="0"/>
                <w:color w:val="FFFFFF"/>
                <w:sz w:val="22"/>
                <w:lang w:eastAsia="es-CO"/>
              </w:rPr>
              <w:t>2013</w:t>
            </w:r>
          </w:p>
        </w:tc>
        <w:tc>
          <w:tcPr>
            <w:tcW w:w="1329" w:type="dxa"/>
            <w:hideMark/>
          </w:tcPr>
          <w:p w14:paraId="0DD96D8C"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2014</w:t>
            </w:r>
          </w:p>
        </w:tc>
        <w:tc>
          <w:tcPr>
            <w:tcW w:w="1426" w:type="dxa"/>
            <w:hideMark/>
          </w:tcPr>
          <w:p w14:paraId="694C3EF1"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2015</w:t>
            </w:r>
          </w:p>
        </w:tc>
      </w:tr>
      <w:tr w:rsidR="00F02E61" w:rsidRPr="00F02E61" w14:paraId="6D333CB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BBEB9A4"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Agespisa</w:t>
            </w:r>
          </w:p>
        </w:tc>
        <w:tc>
          <w:tcPr>
            <w:tcW w:w="1426" w:type="dxa"/>
            <w:hideMark/>
          </w:tcPr>
          <w:p w14:paraId="5EE4B99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3,65 </w:t>
            </w:r>
          </w:p>
        </w:tc>
        <w:tc>
          <w:tcPr>
            <w:tcW w:w="1426" w:type="dxa"/>
            <w:hideMark/>
          </w:tcPr>
          <w:p w14:paraId="07AFEC9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2,79 </w:t>
            </w:r>
          </w:p>
        </w:tc>
        <w:tc>
          <w:tcPr>
            <w:tcW w:w="1426" w:type="dxa"/>
            <w:hideMark/>
          </w:tcPr>
          <w:p w14:paraId="0313E21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2,88 </w:t>
            </w:r>
          </w:p>
        </w:tc>
        <w:tc>
          <w:tcPr>
            <w:tcW w:w="1414" w:type="dxa"/>
            <w:hideMark/>
          </w:tcPr>
          <w:p w14:paraId="2CD5CE5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3,51 </w:t>
            </w:r>
          </w:p>
        </w:tc>
        <w:tc>
          <w:tcPr>
            <w:tcW w:w="1329" w:type="dxa"/>
            <w:hideMark/>
          </w:tcPr>
          <w:p w14:paraId="2159EA1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3,84 </w:t>
            </w:r>
          </w:p>
        </w:tc>
        <w:tc>
          <w:tcPr>
            <w:tcW w:w="1426" w:type="dxa"/>
            <w:hideMark/>
          </w:tcPr>
          <w:p w14:paraId="1175BF2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3,43 </w:t>
            </w:r>
          </w:p>
        </w:tc>
      </w:tr>
      <w:tr w:rsidR="00F02E61" w:rsidRPr="00F02E61" w14:paraId="30EA6B8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1AD3ADB"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Caema</w:t>
            </w:r>
          </w:p>
        </w:tc>
        <w:tc>
          <w:tcPr>
            <w:tcW w:w="1426" w:type="dxa"/>
            <w:hideMark/>
          </w:tcPr>
          <w:p w14:paraId="4DB7BF7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2,81 </w:t>
            </w:r>
          </w:p>
        </w:tc>
        <w:tc>
          <w:tcPr>
            <w:tcW w:w="1426" w:type="dxa"/>
            <w:hideMark/>
          </w:tcPr>
          <w:p w14:paraId="1D3A401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1,60 </w:t>
            </w:r>
          </w:p>
        </w:tc>
        <w:tc>
          <w:tcPr>
            <w:tcW w:w="1426" w:type="dxa"/>
            <w:hideMark/>
          </w:tcPr>
          <w:p w14:paraId="5EBA24E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0,89 </w:t>
            </w:r>
          </w:p>
        </w:tc>
        <w:tc>
          <w:tcPr>
            <w:tcW w:w="1414" w:type="dxa"/>
            <w:hideMark/>
          </w:tcPr>
          <w:p w14:paraId="2626644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1,41 </w:t>
            </w:r>
          </w:p>
        </w:tc>
        <w:tc>
          <w:tcPr>
            <w:tcW w:w="1329" w:type="dxa"/>
            <w:hideMark/>
          </w:tcPr>
          <w:p w14:paraId="29E1874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3,24 </w:t>
            </w:r>
          </w:p>
        </w:tc>
        <w:tc>
          <w:tcPr>
            <w:tcW w:w="1426" w:type="dxa"/>
            <w:hideMark/>
          </w:tcPr>
          <w:p w14:paraId="4C1085D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3,44 </w:t>
            </w:r>
          </w:p>
        </w:tc>
      </w:tr>
      <w:tr w:rsidR="00F02E61" w:rsidRPr="00F02E61" w14:paraId="4376263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C2C1A9F"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lastRenderedPageBreak/>
              <w:t>Caer</w:t>
            </w:r>
          </w:p>
        </w:tc>
        <w:tc>
          <w:tcPr>
            <w:tcW w:w="1426" w:type="dxa"/>
            <w:hideMark/>
          </w:tcPr>
          <w:p w14:paraId="330613E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2,39 </w:t>
            </w:r>
          </w:p>
        </w:tc>
        <w:tc>
          <w:tcPr>
            <w:tcW w:w="1426" w:type="dxa"/>
            <w:hideMark/>
          </w:tcPr>
          <w:p w14:paraId="0B36BCC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3,07 </w:t>
            </w:r>
          </w:p>
        </w:tc>
        <w:tc>
          <w:tcPr>
            <w:tcW w:w="1426" w:type="dxa"/>
            <w:hideMark/>
          </w:tcPr>
          <w:p w14:paraId="4DF587D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3,14 </w:t>
            </w:r>
          </w:p>
        </w:tc>
        <w:tc>
          <w:tcPr>
            <w:tcW w:w="1414" w:type="dxa"/>
            <w:hideMark/>
          </w:tcPr>
          <w:p w14:paraId="5F6949F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3,58 </w:t>
            </w:r>
          </w:p>
        </w:tc>
        <w:tc>
          <w:tcPr>
            <w:tcW w:w="1329" w:type="dxa"/>
            <w:hideMark/>
          </w:tcPr>
          <w:p w14:paraId="6547D3D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4,03 </w:t>
            </w:r>
          </w:p>
        </w:tc>
        <w:tc>
          <w:tcPr>
            <w:tcW w:w="1426" w:type="dxa"/>
            <w:hideMark/>
          </w:tcPr>
          <w:p w14:paraId="0F97892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3,91 </w:t>
            </w:r>
          </w:p>
        </w:tc>
      </w:tr>
      <w:tr w:rsidR="00F02E61" w:rsidRPr="00F02E61" w14:paraId="22B2AEB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6A3EB09"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Caerd</w:t>
            </w:r>
          </w:p>
        </w:tc>
        <w:tc>
          <w:tcPr>
            <w:tcW w:w="1426" w:type="dxa"/>
            <w:hideMark/>
          </w:tcPr>
          <w:p w14:paraId="797C8BD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5,47 </w:t>
            </w:r>
          </w:p>
        </w:tc>
        <w:tc>
          <w:tcPr>
            <w:tcW w:w="1426" w:type="dxa"/>
            <w:hideMark/>
          </w:tcPr>
          <w:p w14:paraId="3A0C98B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5,11 </w:t>
            </w:r>
          </w:p>
        </w:tc>
        <w:tc>
          <w:tcPr>
            <w:tcW w:w="1426" w:type="dxa"/>
            <w:hideMark/>
          </w:tcPr>
          <w:p w14:paraId="104B323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5,25 </w:t>
            </w:r>
          </w:p>
        </w:tc>
        <w:tc>
          <w:tcPr>
            <w:tcW w:w="1414" w:type="dxa"/>
            <w:hideMark/>
          </w:tcPr>
          <w:p w14:paraId="2FD164D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5,13 </w:t>
            </w:r>
          </w:p>
        </w:tc>
        <w:tc>
          <w:tcPr>
            <w:tcW w:w="1329" w:type="dxa"/>
            <w:hideMark/>
          </w:tcPr>
          <w:p w14:paraId="0F17045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5,25 </w:t>
            </w:r>
          </w:p>
        </w:tc>
        <w:tc>
          <w:tcPr>
            <w:tcW w:w="1426" w:type="dxa"/>
            <w:hideMark/>
          </w:tcPr>
          <w:p w14:paraId="010E753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5,55 </w:t>
            </w:r>
          </w:p>
        </w:tc>
      </w:tr>
      <w:tr w:rsidR="00F02E61" w:rsidRPr="00F02E61" w14:paraId="7C71293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BE695FA"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Caern</w:t>
            </w:r>
          </w:p>
        </w:tc>
        <w:tc>
          <w:tcPr>
            <w:tcW w:w="1426" w:type="dxa"/>
            <w:hideMark/>
          </w:tcPr>
          <w:p w14:paraId="18146CD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2,69 </w:t>
            </w:r>
          </w:p>
        </w:tc>
        <w:tc>
          <w:tcPr>
            <w:tcW w:w="1426" w:type="dxa"/>
            <w:hideMark/>
          </w:tcPr>
          <w:p w14:paraId="629FCA7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2,64 </w:t>
            </w:r>
          </w:p>
        </w:tc>
        <w:tc>
          <w:tcPr>
            <w:tcW w:w="1426" w:type="dxa"/>
            <w:hideMark/>
          </w:tcPr>
          <w:p w14:paraId="2726518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2,62 </w:t>
            </w:r>
          </w:p>
        </w:tc>
        <w:tc>
          <w:tcPr>
            <w:tcW w:w="1414" w:type="dxa"/>
            <w:hideMark/>
          </w:tcPr>
          <w:p w14:paraId="04137BC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2,48 </w:t>
            </w:r>
          </w:p>
        </w:tc>
        <w:tc>
          <w:tcPr>
            <w:tcW w:w="1329" w:type="dxa"/>
            <w:hideMark/>
          </w:tcPr>
          <w:p w14:paraId="7A7FFD7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2,77 </w:t>
            </w:r>
          </w:p>
        </w:tc>
        <w:tc>
          <w:tcPr>
            <w:tcW w:w="1426" w:type="dxa"/>
            <w:hideMark/>
          </w:tcPr>
          <w:p w14:paraId="1B2BDAA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3,42 </w:t>
            </w:r>
          </w:p>
        </w:tc>
      </w:tr>
      <w:tr w:rsidR="00F02E61" w:rsidRPr="00F02E61" w14:paraId="696AD86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C47F5CF"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Caesa</w:t>
            </w:r>
          </w:p>
        </w:tc>
        <w:tc>
          <w:tcPr>
            <w:tcW w:w="1426" w:type="dxa"/>
            <w:hideMark/>
          </w:tcPr>
          <w:p w14:paraId="0FADC85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2,36 </w:t>
            </w:r>
          </w:p>
        </w:tc>
        <w:tc>
          <w:tcPr>
            <w:tcW w:w="1426" w:type="dxa"/>
            <w:hideMark/>
          </w:tcPr>
          <w:p w14:paraId="18EC5A2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2,97 </w:t>
            </w:r>
          </w:p>
        </w:tc>
        <w:tc>
          <w:tcPr>
            <w:tcW w:w="1426" w:type="dxa"/>
            <w:hideMark/>
          </w:tcPr>
          <w:p w14:paraId="3E4C214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5,50 </w:t>
            </w:r>
          </w:p>
        </w:tc>
        <w:tc>
          <w:tcPr>
            <w:tcW w:w="1414" w:type="dxa"/>
            <w:hideMark/>
          </w:tcPr>
          <w:p w14:paraId="09A56BB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3,01 </w:t>
            </w:r>
          </w:p>
        </w:tc>
        <w:tc>
          <w:tcPr>
            <w:tcW w:w="1329" w:type="dxa"/>
            <w:hideMark/>
          </w:tcPr>
          <w:p w14:paraId="2A22644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4,47 </w:t>
            </w:r>
          </w:p>
        </w:tc>
        <w:tc>
          <w:tcPr>
            <w:tcW w:w="1426" w:type="dxa"/>
            <w:hideMark/>
          </w:tcPr>
          <w:p w14:paraId="046D1FD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3,97 </w:t>
            </w:r>
          </w:p>
        </w:tc>
      </w:tr>
      <w:tr w:rsidR="00F02E61" w:rsidRPr="00F02E61" w14:paraId="75405C7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2FD3087"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Caesb</w:t>
            </w:r>
          </w:p>
        </w:tc>
        <w:tc>
          <w:tcPr>
            <w:tcW w:w="1426" w:type="dxa"/>
            <w:hideMark/>
          </w:tcPr>
          <w:p w14:paraId="063B729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2,85 </w:t>
            </w:r>
          </w:p>
        </w:tc>
        <w:tc>
          <w:tcPr>
            <w:tcW w:w="1426" w:type="dxa"/>
            <w:hideMark/>
          </w:tcPr>
          <w:p w14:paraId="31A8435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3,25 </w:t>
            </w:r>
          </w:p>
        </w:tc>
        <w:tc>
          <w:tcPr>
            <w:tcW w:w="1426" w:type="dxa"/>
            <w:hideMark/>
          </w:tcPr>
          <w:p w14:paraId="1F2BCF0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3,52 </w:t>
            </w:r>
          </w:p>
        </w:tc>
        <w:tc>
          <w:tcPr>
            <w:tcW w:w="1414" w:type="dxa"/>
            <w:hideMark/>
          </w:tcPr>
          <w:p w14:paraId="6EB0F28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3,77 </w:t>
            </w:r>
          </w:p>
        </w:tc>
        <w:tc>
          <w:tcPr>
            <w:tcW w:w="1329" w:type="dxa"/>
            <w:hideMark/>
          </w:tcPr>
          <w:p w14:paraId="1555732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4,21 </w:t>
            </w:r>
          </w:p>
        </w:tc>
        <w:tc>
          <w:tcPr>
            <w:tcW w:w="1426" w:type="dxa"/>
            <w:hideMark/>
          </w:tcPr>
          <w:p w14:paraId="0A302D2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4,68 </w:t>
            </w:r>
          </w:p>
        </w:tc>
      </w:tr>
      <w:tr w:rsidR="00F02E61" w:rsidRPr="00F02E61" w14:paraId="74DC81B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1296A99"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Cagece</w:t>
            </w:r>
          </w:p>
        </w:tc>
        <w:tc>
          <w:tcPr>
            <w:tcW w:w="1426" w:type="dxa"/>
            <w:hideMark/>
          </w:tcPr>
          <w:p w14:paraId="6CEB502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1,67 </w:t>
            </w:r>
          </w:p>
        </w:tc>
        <w:tc>
          <w:tcPr>
            <w:tcW w:w="1426" w:type="dxa"/>
            <w:hideMark/>
          </w:tcPr>
          <w:p w14:paraId="1A6F3A4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1,46 </w:t>
            </w:r>
          </w:p>
        </w:tc>
        <w:tc>
          <w:tcPr>
            <w:tcW w:w="1426" w:type="dxa"/>
            <w:hideMark/>
          </w:tcPr>
          <w:p w14:paraId="381B28D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1,80 </w:t>
            </w:r>
          </w:p>
        </w:tc>
        <w:tc>
          <w:tcPr>
            <w:tcW w:w="1414" w:type="dxa"/>
            <w:hideMark/>
          </w:tcPr>
          <w:p w14:paraId="04FA3CF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1,96 </w:t>
            </w:r>
          </w:p>
        </w:tc>
        <w:tc>
          <w:tcPr>
            <w:tcW w:w="1329" w:type="dxa"/>
            <w:hideMark/>
          </w:tcPr>
          <w:p w14:paraId="0F016B1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3,35 </w:t>
            </w:r>
          </w:p>
        </w:tc>
        <w:tc>
          <w:tcPr>
            <w:tcW w:w="1426" w:type="dxa"/>
            <w:hideMark/>
          </w:tcPr>
          <w:p w14:paraId="4475C39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2,77 </w:t>
            </w:r>
          </w:p>
        </w:tc>
      </w:tr>
      <w:tr w:rsidR="00F02E61" w:rsidRPr="00F02E61" w14:paraId="6925471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A685258"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Cagepa</w:t>
            </w:r>
          </w:p>
        </w:tc>
        <w:tc>
          <w:tcPr>
            <w:tcW w:w="1426" w:type="dxa"/>
            <w:hideMark/>
          </w:tcPr>
          <w:p w14:paraId="1F2BDB4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2,91 </w:t>
            </w:r>
          </w:p>
        </w:tc>
        <w:tc>
          <w:tcPr>
            <w:tcW w:w="1426" w:type="dxa"/>
            <w:hideMark/>
          </w:tcPr>
          <w:p w14:paraId="7088F0F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2,67 </w:t>
            </w:r>
          </w:p>
        </w:tc>
        <w:tc>
          <w:tcPr>
            <w:tcW w:w="1426" w:type="dxa"/>
            <w:hideMark/>
          </w:tcPr>
          <w:p w14:paraId="50900A7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2,91 </w:t>
            </w:r>
          </w:p>
        </w:tc>
        <w:tc>
          <w:tcPr>
            <w:tcW w:w="1414" w:type="dxa"/>
            <w:hideMark/>
          </w:tcPr>
          <w:p w14:paraId="40EE6AF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3,09 </w:t>
            </w:r>
          </w:p>
        </w:tc>
        <w:tc>
          <w:tcPr>
            <w:tcW w:w="1329" w:type="dxa"/>
            <w:hideMark/>
          </w:tcPr>
          <w:p w14:paraId="158B847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3,26 </w:t>
            </w:r>
          </w:p>
        </w:tc>
        <w:tc>
          <w:tcPr>
            <w:tcW w:w="1426" w:type="dxa"/>
            <w:hideMark/>
          </w:tcPr>
          <w:p w14:paraId="24659C2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3,64 </w:t>
            </w:r>
          </w:p>
        </w:tc>
      </w:tr>
      <w:tr w:rsidR="00F02E61" w:rsidRPr="00F02E61" w14:paraId="4172C92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625D211"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Casal</w:t>
            </w:r>
          </w:p>
        </w:tc>
        <w:tc>
          <w:tcPr>
            <w:tcW w:w="1426" w:type="dxa"/>
            <w:hideMark/>
          </w:tcPr>
          <w:p w14:paraId="03F8A84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3,02 </w:t>
            </w:r>
          </w:p>
        </w:tc>
        <w:tc>
          <w:tcPr>
            <w:tcW w:w="1426" w:type="dxa"/>
            <w:hideMark/>
          </w:tcPr>
          <w:p w14:paraId="755D487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2,72 </w:t>
            </w:r>
          </w:p>
        </w:tc>
        <w:tc>
          <w:tcPr>
            <w:tcW w:w="1426" w:type="dxa"/>
            <w:hideMark/>
          </w:tcPr>
          <w:p w14:paraId="16B1194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2,74 </w:t>
            </w:r>
          </w:p>
        </w:tc>
        <w:tc>
          <w:tcPr>
            <w:tcW w:w="1414" w:type="dxa"/>
            <w:hideMark/>
          </w:tcPr>
          <w:p w14:paraId="232386F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3,95 </w:t>
            </w:r>
          </w:p>
        </w:tc>
        <w:tc>
          <w:tcPr>
            <w:tcW w:w="1329" w:type="dxa"/>
            <w:hideMark/>
          </w:tcPr>
          <w:p w14:paraId="24FCB6B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4,54 </w:t>
            </w:r>
          </w:p>
        </w:tc>
        <w:tc>
          <w:tcPr>
            <w:tcW w:w="1426" w:type="dxa"/>
            <w:hideMark/>
          </w:tcPr>
          <w:p w14:paraId="0DF9C12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5,23 </w:t>
            </w:r>
          </w:p>
        </w:tc>
      </w:tr>
      <w:tr w:rsidR="00F02E61" w:rsidRPr="00F02E61" w14:paraId="78C2E32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B9AF564"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Casan</w:t>
            </w:r>
          </w:p>
        </w:tc>
        <w:tc>
          <w:tcPr>
            <w:tcW w:w="1426" w:type="dxa"/>
            <w:hideMark/>
          </w:tcPr>
          <w:p w14:paraId="32C4E79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2,64 </w:t>
            </w:r>
          </w:p>
        </w:tc>
        <w:tc>
          <w:tcPr>
            <w:tcW w:w="1426" w:type="dxa"/>
            <w:hideMark/>
          </w:tcPr>
          <w:p w14:paraId="46F4E21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3,24 </w:t>
            </w:r>
          </w:p>
        </w:tc>
        <w:tc>
          <w:tcPr>
            <w:tcW w:w="1426" w:type="dxa"/>
            <w:hideMark/>
          </w:tcPr>
          <w:p w14:paraId="3B93926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3,27 </w:t>
            </w:r>
          </w:p>
        </w:tc>
        <w:tc>
          <w:tcPr>
            <w:tcW w:w="1414" w:type="dxa"/>
            <w:hideMark/>
          </w:tcPr>
          <w:p w14:paraId="276577A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3,40 </w:t>
            </w:r>
          </w:p>
        </w:tc>
        <w:tc>
          <w:tcPr>
            <w:tcW w:w="1329" w:type="dxa"/>
            <w:hideMark/>
          </w:tcPr>
          <w:p w14:paraId="7AAB240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3,99 </w:t>
            </w:r>
          </w:p>
        </w:tc>
        <w:tc>
          <w:tcPr>
            <w:tcW w:w="1426" w:type="dxa"/>
            <w:hideMark/>
          </w:tcPr>
          <w:p w14:paraId="1291A71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4,13 </w:t>
            </w:r>
          </w:p>
        </w:tc>
      </w:tr>
      <w:tr w:rsidR="00F02E61" w:rsidRPr="00F02E61" w14:paraId="18D84C2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791674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Cedae</w:t>
            </w:r>
          </w:p>
        </w:tc>
        <w:tc>
          <w:tcPr>
            <w:tcW w:w="1426" w:type="dxa"/>
            <w:hideMark/>
          </w:tcPr>
          <w:p w14:paraId="5033B81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2,81 </w:t>
            </w:r>
          </w:p>
        </w:tc>
        <w:tc>
          <w:tcPr>
            <w:tcW w:w="1426" w:type="dxa"/>
            <w:hideMark/>
          </w:tcPr>
          <w:p w14:paraId="6B29B45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3,07 </w:t>
            </w:r>
          </w:p>
        </w:tc>
        <w:tc>
          <w:tcPr>
            <w:tcW w:w="1426" w:type="dxa"/>
            <w:hideMark/>
          </w:tcPr>
          <w:p w14:paraId="39F7C4E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2,60 </w:t>
            </w:r>
          </w:p>
        </w:tc>
        <w:tc>
          <w:tcPr>
            <w:tcW w:w="1414" w:type="dxa"/>
            <w:hideMark/>
          </w:tcPr>
          <w:p w14:paraId="714A537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2,56 </w:t>
            </w:r>
          </w:p>
        </w:tc>
        <w:tc>
          <w:tcPr>
            <w:tcW w:w="1329" w:type="dxa"/>
            <w:hideMark/>
          </w:tcPr>
          <w:p w14:paraId="4B7021B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2,67 </w:t>
            </w:r>
          </w:p>
        </w:tc>
        <w:tc>
          <w:tcPr>
            <w:tcW w:w="1426" w:type="dxa"/>
            <w:hideMark/>
          </w:tcPr>
          <w:p w14:paraId="27CA598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2,68 </w:t>
            </w:r>
          </w:p>
        </w:tc>
      </w:tr>
      <w:tr w:rsidR="00F02E61" w:rsidRPr="00F02E61" w14:paraId="4E04507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CEF61E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Cesan</w:t>
            </w:r>
          </w:p>
        </w:tc>
        <w:tc>
          <w:tcPr>
            <w:tcW w:w="1426" w:type="dxa"/>
            <w:hideMark/>
          </w:tcPr>
          <w:p w14:paraId="468B583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1,48 </w:t>
            </w:r>
          </w:p>
        </w:tc>
        <w:tc>
          <w:tcPr>
            <w:tcW w:w="1426" w:type="dxa"/>
            <w:hideMark/>
          </w:tcPr>
          <w:p w14:paraId="6AC447D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1,66 </w:t>
            </w:r>
          </w:p>
        </w:tc>
        <w:tc>
          <w:tcPr>
            <w:tcW w:w="1426" w:type="dxa"/>
            <w:hideMark/>
          </w:tcPr>
          <w:p w14:paraId="0705DC3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1,87 </w:t>
            </w:r>
          </w:p>
        </w:tc>
        <w:tc>
          <w:tcPr>
            <w:tcW w:w="1414" w:type="dxa"/>
            <w:hideMark/>
          </w:tcPr>
          <w:p w14:paraId="06DE68F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1,91 </w:t>
            </w:r>
          </w:p>
        </w:tc>
        <w:tc>
          <w:tcPr>
            <w:tcW w:w="1329" w:type="dxa"/>
            <w:hideMark/>
          </w:tcPr>
          <w:p w14:paraId="1D6DF26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2,12 </w:t>
            </w:r>
          </w:p>
        </w:tc>
        <w:tc>
          <w:tcPr>
            <w:tcW w:w="1426" w:type="dxa"/>
            <w:hideMark/>
          </w:tcPr>
          <w:p w14:paraId="1DF7FF2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2,33 </w:t>
            </w:r>
          </w:p>
        </w:tc>
      </w:tr>
      <w:tr w:rsidR="00F02E61" w:rsidRPr="00F02E61" w14:paraId="2AAE006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68EA74A"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Compesa</w:t>
            </w:r>
          </w:p>
        </w:tc>
        <w:tc>
          <w:tcPr>
            <w:tcW w:w="1426" w:type="dxa"/>
            <w:hideMark/>
          </w:tcPr>
          <w:p w14:paraId="79B48A1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2,38 </w:t>
            </w:r>
          </w:p>
        </w:tc>
        <w:tc>
          <w:tcPr>
            <w:tcW w:w="1426" w:type="dxa"/>
            <w:hideMark/>
          </w:tcPr>
          <w:p w14:paraId="1E23584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2,48 </w:t>
            </w:r>
          </w:p>
        </w:tc>
        <w:tc>
          <w:tcPr>
            <w:tcW w:w="1426" w:type="dxa"/>
            <w:hideMark/>
          </w:tcPr>
          <w:p w14:paraId="4CFE31E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2,71 </w:t>
            </w:r>
          </w:p>
        </w:tc>
        <w:tc>
          <w:tcPr>
            <w:tcW w:w="1414" w:type="dxa"/>
            <w:hideMark/>
          </w:tcPr>
          <w:p w14:paraId="4ECD0E6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2,70 </w:t>
            </w:r>
          </w:p>
        </w:tc>
        <w:tc>
          <w:tcPr>
            <w:tcW w:w="1329" w:type="dxa"/>
            <w:hideMark/>
          </w:tcPr>
          <w:p w14:paraId="2BAF95E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2,78 </w:t>
            </w:r>
          </w:p>
        </w:tc>
        <w:tc>
          <w:tcPr>
            <w:tcW w:w="1426" w:type="dxa"/>
            <w:hideMark/>
          </w:tcPr>
          <w:p w14:paraId="0A16E07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3,08 </w:t>
            </w:r>
          </w:p>
        </w:tc>
      </w:tr>
      <w:tr w:rsidR="00F02E61" w:rsidRPr="00F02E61" w14:paraId="2EC1C14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051908E"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Copasa</w:t>
            </w:r>
          </w:p>
        </w:tc>
        <w:tc>
          <w:tcPr>
            <w:tcW w:w="1426" w:type="dxa"/>
            <w:hideMark/>
          </w:tcPr>
          <w:p w14:paraId="0423997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2,39 </w:t>
            </w:r>
          </w:p>
        </w:tc>
        <w:tc>
          <w:tcPr>
            <w:tcW w:w="1426" w:type="dxa"/>
            <w:hideMark/>
          </w:tcPr>
          <w:p w14:paraId="64C22F4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2,37 </w:t>
            </w:r>
          </w:p>
        </w:tc>
        <w:tc>
          <w:tcPr>
            <w:tcW w:w="1426" w:type="dxa"/>
            <w:hideMark/>
          </w:tcPr>
          <w:p w14:paraId="089CD5F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2,72 </w:t>
            </w:r>
          </w:p>
        </w:tc>
        <w:tc>
          <w:tcPr>
            <w:tcW w:w="1414" w:type="dxa"/>
            <w:hideMark/>
          </w:tcPr>
          <w:p w14:paraId="03C850E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2,69 </w:t>
            </w:r>
          </w:p>
        </w:tc>
        <w:tc>
          <w:tcPr>
            <w:tcW w:w="1329" w:type="dxa"/>
            <w:hideMark/>
          </w:tcPr>
          <w:p w14:paraId="36D452E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2,87 </w:t>
            </w:r>
          </w:p>
        </w:tc>
        <w:tc>
          <w:tcPr>
            <w:tcW w:w="1426" w:type="dxa"/>
            <w:hideMark/>
          </w:tcPr>
          <w:p w14:paraId="0A7E6A5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3,50 </w:t>
            </w:r>
          </w:p>
        </w:tc>
      </w:tr>
      <w:tr w:rsidR="00F02E61" w:rsidRPr="00F02E61" w14:paraId="6B74021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A209370"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Corsan</w:t>
            </w:r>
          </w:p>
        </w:tc>
        <w:tc>
          <w:tcPr>
            <w:tcW w:w="1426" w:type="dxa"/>
            <w:hideMark/>
          </w:tcPr>
          <w:p w14:paraId="2EC516F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3,58 </w:t>
            </w:r>
          </w:p>
        </w:tc>
        <w:tc>
          <w:tcPr>
            <w:tcW w:w="1426" w:type="dxa"/>
            <w:hideMark/>
          </w:tcPr>
          <w:p w14:paraId="5A0DDA9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4,91 </w:t>
            </w:r>
          </w:p>
        </w:tc>
        <w:tc>
          <w:tcPr>
            <w:tcW w:w="1426" w:type="dxa"/>
            <w:hideMark/>
          </w:tcPr>
          <w:p w14:paraId="6086BD4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5,84 </w:t>
            </w:r>
          </w:p>
        </w:tc>
        <w:tc>
          <w:tcPr>
            <w:tcW w:w="1414" w:type="dxa"/>
            <w:hideMark/>
          </w:tcPr>
          <w:p w14:paraId="2C18F78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6,15 </w:t>
            </w:r>
          </w:p>
        </w:tc>
        <w:tc>
          <w:tcPr>
            <w:tcW w:w="1329" w:type="dxa"/>
            <w:hideMark/>
          </w:tcPr>
          <w:p w14:paraId="54DCFDF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6,03 </w:t>
            </w:r>
          </w:p>
        </w:tc>
        <w:tc>
          <w:tcPr>
            <w:tcW w:w="1426" w:type="dxa"/>
            <w:hideMark/>
          </w:tcPr>
          <w:p w14:paraId="3D07B33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5,29 </w:t>
            </w:r>
          </w:p>
        </w:tc>
      </w:tr>
      <w:tr w:rsidR="00F02E61" w:rsidRPr="00F02E61" w14:paraId="682A875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C8087B7"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Cosanpa</w:t>
            </w:r>
          </w:p>
        </w:tc>
        <w:tc>
          <w:tcPr>
            <w:tcW w:w="1426" w:type="dxa"/>
            <w:hideMark/>
          </w:tcPr>
          <w:p w14:paraId="49E3583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3,45 </w:t>
            </w:r>
          </w:p>
        </w:tc>
        <w:tc>
          <w:tcPr>
            <w:tcW w:w="1426" w:type="dxa"/>
            <w:hideMark/>
          </w:tcPr>
          <w:p w14:paraId="31BBFC9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3,71 </w:t>
            </w:r>
          </w:p>
        </w:tc>
        <w:tc>
          <w:tcPr>
            <w:tcW w:w="1426" w:type="dxa"/>
            <w:hideMark/>
          </w:tcPr>
          <w:p w14:paraId="13D4FE3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3,62 </w:t>
            </w:r>
          </w:p>
        </w:tc>
        <w:tc>
          <w:tcPr>
            <w:tcW w:w="1414" w:type="dxa"/>
            <w:hideMark/>
          </w:tcPr>
          <w:p w14:paraId="6D28B4D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3,58 </w:t>
            </w:r>
          </w:p>
        </w:tc>
        <w:tc>
          <w:tcPr>
            <w:tcW w:w="1329" w:type="dxa"/>
            <w:hideMark/>
          </w:tcPr>
          <w:p w14:paraId="4DAF169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4,17 </w:t>
            </w:r>
          </w:p>
        </w:tc>
        <w:tc>
          <w:tcPr>
            <w:tcW w:w="1426" w:type="dxa"/>
            <w:hideMark/>
          </w:tcPr>
          <w:p w14:paraId="5102816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4,45 </w:t>
            </w:r>
          </w:p>
        </w:tc>
      </w:tr>
      <w:tr w:rsidR="00F02E61" w:rsidRPr="00F02E61" w14:paraId="4ABB9AB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296B5F3"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Depasa</w:t>
            </w:r>
          </w:p>
        </w:tc>
        <w:tc>
          <w:tcPr>
            <w:tcW w:w="1426" w:type="dxa"/>
            <w:hideMark/>
          </w:tcPr>
          <w:p w14:paraId="2ACEFE9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3,84 </w:t>
            </w:r>
          </w:p>
        </w:tc>
        <w:tc>
          <w:tcPr>
            <w:tcW w:w="1426" w:type="dxa"/>
            <w:hideMark/>
          </w:tcPr>
          <w:p w14:paraId="620A0CD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3,73 </w:t>
            </w:r>
          </w:p>
        </w:tc>
        <w:tc>
          <w:tcPr>
            <w:tcW w:w="1426" w:type="dxa"/>
            <w:hideMark/>
          </w:tcPr>
          <w:p w14:paraId="369ABAF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6,70 </w:t>
            </w:r>
          </w:p>
        </w:tc>
        <w:tc>
          <w:tcPr>
            <w:tcW w:w="1414" w:type="dxa"/>
            <w:hideMark/>
          </w:tcPr>
          <w:p w14:paraId="6902838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2,64 </w:t>
            </w:r>
          </w:p>
        </w:tc>
        <w:tc>
          <w:tcPr>
            <w:tcW w:w="1329" w:type="dxa"/>
            <w:hideMark/>
          </w:tcPr>
          <w:p w14:paraId="207D5D1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1,77 </w:t>
            </w:r>
          </w:p>
        </w:tc>
        <w:tc>
          <w:tcPr>
            <w:tcW w:w="1426" w:type="dxa"/>
            <w:hideMark/>
          </w:tcPr>
          <w:p w14:paraId="0468FCE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2,06 </w:t>
            </w:r>
          </w:p>
        </w:tc>
      </w:tr>
      <w:tr w:rsidR="00F02E61" w:rsidRPr="00F02E61" w14:paraId="487A940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A2C168F"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Deso</w:t>
            </w:r>
          </w:p>
        </w:tc>
        <w:tc>
          <w:tcPr>
            <w:tcW w:w="1426" w:type="dxa"/>
            <w:hideMark/>
          </w:tcPr>
          <w:p w14:paraId="286A33E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4,69 </w:t>
            </w:r>
          </w:p>
        </w:tc>
        <w:tc>
          <w:tcPr>
            <w:tcW w:w="1426" w:type="dxa"/>
            <w:hideMark/>
          </w:tcPr>
          <w:p w14:paraId="0D5526F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3,21 </w:t>
            </w:r>
          </w:p>
        </w:tc>
        <w:tc>
          <w:tcPr>
            <w:tcW w:w="1426" w:type="dxa"/>
            <w:hideMark/>
          </w:tcPr>
          <w:p w14:paraId="16C49E9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3,52 </w:t>
            </w:r>
          </w:p>
        </w:tc>
        <w:tc>
          <w:tcPr>
            <w:tcW w:w="1414" w:type="dxa"/>
            <w:hideMark/>
          </w:tcPr>
          <w:p w14:paraId="1005881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3,61 </w:t>
            </w:r>
          </w:p>
        </w:tc>
        <w:tc>
          <w:tcPr>
            <w:tcW w:w="1329" w:type="dxa"/>
            <w:hideMark/>
          </w:tcPr>
          <w:p w14:paraId="3F427D6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3,75 </w:t>
            </w:r>
          </w:p>
        </w:tc>
        <w:tc>
          <w:tcPr>
            <w:tcW w:w="1426" w:type="dxa"/>
            <w:hideMark/>
          </w:tcPr>
          <w:p w14:paraId="74D2725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3,93 </w:t>
            </w:r>
          </w:p>
        </w:tc>
      </w:tr>
      <w:tr w:rsidR="00F02E61" w:rsidRPr="00F02E61" w14:paraId="08DE92F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18ECC82"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Embasa</w:t>
            </w:r>
          </w:p>
        </w:tc>
        <w:tc>
          <w:tcPr>
            <w:tcW w:w="1426" w:type="dxa"/>
            <w:hideMark/>
          </w:tcPr>
          <w:p w14:paraId="7E484E8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2,28 </w:t>
            </w:r>
          </w:p>
        </w:tc>
        <w:tc>
          <w:tcPr>
            <w:tcW w:w="1426" w:type="dxa"/>
            <w:hideMark/>
          </w:tcPr>
          <w:p w14:paraId="36F9467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2,66 </w:t>
            </w:r>
          </w:p>
        </w:tc>
        <w:tc>
          <w:tcPr>
            <w:tcW w:w="1426" w:type="dxa"/>
            <w:hideMark/>
          </w:tcPr>
          <w:p w14:paraId="141130B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2,76 </w:t>
            </w:r>
          </w:p>
        </w:tc>
        <w:tc>
          <w:tcPr>
            <w:tcW w:w="1414" w:type="dxa"/>
            <w:hideMark/>
          </w:tcPr>
          <w:p w14:paraId="72862B5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3,31 </w:t>
            </w:r>
          </w:p>
        </w:tc>
        <w:tc>
          <w:tcPr>
            <w:tcW w:w="1329" w:type="dxa"/>
            <w:hideMark/>
          </w:tcPr>
          <w:p w14:paraId="2039095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3,02 </w:t>
            </w:r>
          </w:p>
        </w:tc>
        <w:tc>
          <w:tcPr>
            <w:tcW w:w="1426" w:type="dxa"/>
            <w:hideMark/>
          </w:tcPr>
          <w:p w14:paraId="4728F22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3,73 </w:t>
            </w:r>
          </w:p>
        </w:tc>
      </w:tr>
      <w:tr w:rsidR="00F02E61" w:rsidRPr="00F02E61" w14:paraId="2FA39F4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DB7FA0C"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Sabesp</w:t>
            </w:r>
          </w:p>
        </w:tc>
        <w:tc>
          <w:tcPr>
            <w:tcW w:w="1426" w:type="dxa"/>
            <w:hideMark/>
          </w:tcPr>
          <w:p w14:paraId="760077A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1,88 </w:t>
            </w:r>
          </w:p>
        </w:tc>
        <w:tc>
          <w:tcPr>
            <w:tcW w:w="1426" w:type="dxa"/>
            <w:hideMark/>
          </w:tcPr>
          <w:p w14:paraId="0AFBEF1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2,17 </w:t>
            </w:r>
          </w:p>
        </w:tc>
        <w:tc>
          <w:tcPr>
            <w:tcW w:w="1426" w:type="dxa"/>
            <w:hideMark/>
          </w:tcPr>
          <w:p w14:paraId="7E10AEC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2,06 </w:t>
            </w:r>
          </w:p>
        </w:tc>
        <w:tc>
          <w:tcPr>
            <w:tcW w:w="1414" w:type="dxa"/>
            <w:hideMark/>
          </w:tcPr>
          <w:p w14:paraId="610D1B0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2,19 </w:t>
            </w:r>
          </w:p>
        </w:tc>
        <w:tc>
          <w:tcPr>
            <w:tcW w:w="1329" w:type="dxa"/>
            <w:hideMark/>
          </w:tcPr>
          <w:p w14:paraId="4ED37BC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2,38 </w:t>
            </w:r>
          </w:p>
        </w:tc>
        <w:tc>
          <w:tcPr>
            <w:tcW w:w="1426" w:type="dxa"/>
            <w:hideMark/>
          </w:tcPr>
          <w:p w14:paraId="2240EBD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2,69 </w:t>
            </w:r>
          </w:p>
        </w:tc>
      </w:tr>
      <w:tr w:rsidR="00F02E61" w:rsidRPr="00F02E61" w14:paraId="6E8C5E4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322EF71"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Saneago</w:t>
            </w:r>
          </w:p>
        </w:tc>
        <w:tc>
          <w:tcPr>
            <w:tcW w:w="1426" w:type="dxa"/>
            <w:hideMark/>
          </w:tcPr>
          <w:p w14:paraId="5E488AC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2,74 </w:t>
            </w:r>
          </w:p>
        </w:tc>
        <w:tc>
          <w:tcPr>
            <w:tcW w:w="1426" w:type="dxa"/>
            <w:hideMark/>
          </w:tcPr>
          <w:p w14:paraId="2001E8F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3,24 </w:t>
            </w:r>
          </w:p>
        </w:tc>
        <w:tc>
          <w:tcPr>
            <w:tcW w:w="1426" w:type="dxa"/>
            <w:hideMark/>
          </w:tcPr>
          <w:p w14:paraId="0453F7D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3,31 </w:t>
            </w:r>
          </w:p>
        </w:tc>
        <w:tc>
          <w:tcPr>
            <w:tcW w:w="1414" w:type="dxa"/>
            <w:hideMark/>
          </w:tcPr>
          <w:p w14:paraId="2456F8D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4,50 </w:t>
            </w:r>
          </w:p>
        </w:tc>
        <w:tc>
          <w:tcPr>
            <w:tcW w:w="1329" w:type="dxa"/>
            <w:hideMark/>
          </w:tcPr>
          <w:p w14:paraId="37947FB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5,13 </w:t>
            </w:r>
          </w:p>
        </w:tc>
        <w:tc>
          <w:tcPr>
            <w:tcW w:w="1426" w:type="dxa"/>
            <w:hideMark/>
          </w:tcPr>
          <w:p w14:paraId="56F4206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5,21 </w:t>
            </w:r>
          </w:p>
        </w:tc>
      </w:tr>
      <w:tr w:rsidR="00F02E61" w:rsidRPr="00F02E61" w14:paraId="3D9C529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A0A50A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val="es-CO" w:eastAsia="es-CO"/>
              </w:rPr>
              <w:t>Saneatins</w:t>
            </w:r>
          </w:p>
        </w:tc>
        <w:tc>
          <w:tcPr>
            <w:tcW w:w="1426" w:type="dxa"/>
            <w:hideMark/>
          </w:tcPr>
          <w:p w14:paraId="18C484E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2,65 </w:t>
            </w:r>
          </w:p>
        </w:tc>
        <w:tc>
          <w:tcPr>
            <w:tcW w:w="1426" w:type="dxa"/>
            <w:hideMark/>
          </w:tcPr>
          <w:p w14:paraId="462BB69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2,40 </w:t>
            </w:r>
          </w:p>
        </w:tc>
        <w:tc>
          <w:tcPr>
            <w:tcW w:w="1426" w:type="dxa"/>
            <w:hideMark/>
          </w:tcPr>
          <w:p w14:paraId="160961F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1,51 </w:t>
            </w:r>
          </w:p>
        </w:tc>
        <w:tc>
          <w:tcPr>
            <w:tcW w:w="1414" w:type="dxa"/>
            <w:hideMark/>
          </w:tcPr>
          <w:p w14:paraId="00FF9AF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2,62 </w:t>
            </w:r>
          </w:p>
        </w:tc>
        <w:tc>
          <w:tcPr>
            <w:tcW w:w="1329" w:type="dxa"/>
            <w:hideMark/>
          </w:tcPr>
          <w:p w14:paraId="68E8E0F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3,54 </w:t>
            </w:r>
          </w:p>
        </w:tc>
        <w:tc>
          <w:tcPr>
            <w:tcW w:w="1426" w:type="dxa"/>
            <w:hideMark/>
          </w:tcPr>
          <w:p w14:paraId="490AC7B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3,51 </w:t>
            </w:r>
          </w:p>
        </w:tc>
      </w:tr>
      <w:tr w:rsidR="00F02E61" w:rsidRPr="00F02E61" w14:paraId="13E6043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119D4B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Sanepar</w:t>
            </w:r>
          </w:p>
        </w:tc>
        <w:tc>
          <w:tcPr>
            <w:tcW w:w="1426" w:type="dxa"/>
            <w:hideMark/>
          </w:tcPr>
          <w:p w14:paraId="4701F9C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1,81 </w:t>
            </w:r>
          </w:p>
        </w:tc>
        <w:tc>
          <w:tcPr>
            <w:tcW w:w="1426" w:type="dxa"/>
            <w:hideMark/>
          </w:tcPr>
          <w:p w14:paraId="31D7E87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1,94 </w:t>
            </w:r>
          </w:p>
        </w:tc>
        <w:tc>
          <w:tcPr>
            <w:tcW w:w="1426" w:type="dxa"/>
            <w:hideMark/>
          </w:tcPr>
          <w:p w14:paraId="42FEC8C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1,58 </w:t>
            </w:r>
          </w:p>
        </w:tc>
        <w:tc>
          <w:tcPr>
            <w:tcW w:w="1414" w:type="dxa"/>
            <w:hideMark/>
          </w:tcPr>
          <w:p w14:paraId="4369F53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2,37 </w:t>
            </w:r>
          </w:p>
        </w:tc>
        <w:tc>
          <w:tcPr>
            <w:tcW w:w="1329" w:type="dxa"/>
            <w:hideMark/>
          </w:tcPr>
          <w:p w14:paraId="52F197F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2,56 </w:t>
            </w:r>
          </w:p>
        </w:tc>
        <w:tc>
          <w:tcPr>
            <w:tcW w:w="1426" w:type="dxa"/>
            <w:hideMark/>
          </w:tcPr>
          <w:p w14:paraId="1960067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2,89 </w:t>
            </w:r>
          </w:p>
        </w:tc>
      </w:tr>
      <w:tr w:rsidR="00F02E61" w:rsidRPr="00F02E61" w14:paraId="78C7A9C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A3C6FCB"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Sanesul</w:t>
            </w:r>
          </w:p>
        </w:tc>
        <w:tc>
          <w:tcPr>
            <w:tcW w:w="1426" w:type="dxa"/>
            <w:hideMark/>
          </w:tcPr>
          <w:p w14:paraId="7B99B95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2,28 </w:t>
            </w:r>
          </w:p>
        </w:tc>
        <w:tc>
          <w:tcPr>
            <w:tcW w:w="1426" w:type="dxa"/>
            <w:hideMark/>
          </w:tcPr>
          <w:p w14:paraId="5367ABA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2,43 </w:t>
            </w:r>
          </w:p>
        </w:tc>
        <w:tc>
          <w:tcPr>
            <w:tcW w:w="1426" w:type="dxa"/>
            <w:hideMark/>
          </w:tcPr>
          <w:p w14:paraId="4B30DAF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2,51 </w:t>
            </w:r>
          </w:p>
        </w:tc>
        <w:tc>
          <w:tcPr>
            <w:tcW w:w="1414" w:type="dxa"/>
            <w:hideMark/>
          </w:tcPr>
          <w:p w14:paraId="2C4C2F0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2,71 </w:t>
            </w:r>
          </w:p>
        </w:tc>
        <w:tc>
          <w:tcPr>
            <w:tcW w:w="1329" w:type="dxa"/>
            <w:hideMark/>
          </w:tcPr>
          <w:p w14:paraId="01B4494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2,99 </w:t>
            </w:r>
          </w:p>
        </w:tc>
        <w:tc>
          <w:tcPr>
            <w:tcW w:w="1426" w:type="dxa"/>
            <w:hideMark/>
          </w:tcPr>
          <w:p w14:paraId="7C6CE63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3,23 </w:t>
            </w:r>
          </w:p>
        </w:tc>
      </w:tr>
    </w:tbl>
    <w:p w14:paraId="2D74C33C" w14:textId="1AAA321C" w:rsidR="00214B39" w:rsidRPr="00042F25" w:rsidRDefault="00214B39" w:rsidP="00214B39">
      <w:pPr>
        <w:pStyle w:val="Descripcin"/>
        <w:spacing w:before="0" w:beforeAutospacing="0"/>
        <w:jc w:val="left"/>
        <w:rPr>
          <w:sz w:val="20"/>
        </w:rPr>
      </w:pPr>
      <w:r w:rsidRPr="00042F25">
        <w:rPr>
          <w:sz w:val="20"/>
        </w:rPr>
        <w:t>Fonte: SNIS 2015. Elaborado por: GO Associados</w:t>
      </w:r>
    </w:p>
    <w:p w14:paraId="0E511951" w14:textId="77777777" w:rsidR="00F4306B" w:rsidRPr="00042F25" w:rsidRDefault="00F4306B" w:rsidP="00EA348F">
      <w:pPr>
        <w:ind w:firstLine="0"/>
      </w:pPr>
    </w:p>
    <w:p w14:paraId="4F99DACD" w14:textId="329A27DD" w:rsidR="00F4306B" w:rsidRPr="00042F25" w:rsidRDefault="00E911BD" w:rsidP="00C71C89">
      <w:pPr>
        <w:pStyle w:val="Ttulo2"/>
        <w:ind w:left="1427"/>
      </w:pPr>
      <w:bookmarkStart w:id="45" w:name="_Toc493094933"/>
      <w:r>
        <w:t xml:space="preserve">Margem Operacional Sem Depreciação </w:t>
      </w:r>
      <w:bookmarkEnd w:id="45"/>
    </w:p>
    <w:p w14:paraId="5C6BD894" w14:textId="0532CADC" w:rsidR="00F4306B" w:rsidRPr="00042F25" w:rsidRDefault="00F4306B" w:rsidP="00F4306B">
      <w:r w:rsidRPr="00042F25">
        <w:t xml:space="preserve">O </w:t>
      </w:r>
      <w:r w:rsidR="003D39CB" w:rsidRPr="00042F25">
        <w:t xml:space="preserve">indicador de </w:t>
      </w:r>
      <w:r w:rsidR="00E911BD">
        <w:t xml:space="preserve">margem operacional sem depreciação </w:t>
      </w:r>
      <w:r w:rsidRPr="00042F25">
        <w:t>(IN0</w:t>
      </w:r>
      <w:r w:rsidR="00E911BD">
        <w:t>68</w:t>
      </w:r>
      <w:r w:rsidRPr="00042F25">
        <w:t>)</w:t>
      </w:r>
      <w:r w:rsidR="003D39CB" w:rsidRPr="00042F25">
        <w:t xml:space="preserve">, expresso em </w:t>
      </w:r>
      <w:r w:rsidR="00CD3146">
        <w:t>percentagem</w:t>
      </w:r>
      <w:r w:rsidR="00FA3EDB" w:rsidRPr="00042F25">
        <w:t>,</w:t>
      </w:r>
      <w:r w:rsidRPr="00042F25">
        <w:t xml:space="preserve"> usa </w:t>
      </w:r>
      <w:r w:rsidR="00D11793" w:rsidRPr="00042F25">
        <w:t>a soma de receitas operacionais</w:t>
      </w:r>
      <w:r w:rsidR="003D39CB" w:rsidRPr="00042F25">
        <w:t xml:space="preserve"> direta</w:t>
      </w:r>
      <w:r w:rsidR="00D11793" w:rsidRPr="00042F25">
        <w:t>s</w:t>
      </w:r>
      <w:r w:rsidR="003D39CB" w:rsidRPr="00042F25">
        <w:t xml:space="preserve"> (</w:t>
      </w:r>
      <w:r w:rsidR="001E1F40">
        <w:t>BL0</w:t>
      </w:r>
      <w:r w:rsidR="003D39CB" w:rsidRPr="00042F25">
        <w:t>0</w:t>
      </w:r>
      <w:r w:rsidR="001E1F40">
        <w:t>7</w:t>
      </w:r>
      <w:r w:rsidR="003D39CB" w:rsidRPr="00042F25">
        <w:t xml:space="preserve">) </w:t>
      </w:r>
      <w:r w:rsidRPr="00042F25">
        <w:t xml:space="preserve">e </w:t>
      </w:r>
      <w:r w:rsidR="001E1F40">
        <w:t xml:space="preserve">o resultado operacional sem depreciação </w:t>
      </w:r>
      <w:r w:rsidR="003D39CB" w:rsidRPr="00042F25">
        <w:t>(</w:t>
      </w:r>
      <w:r w:rsidR="001E1F40">
        <w:t>BL</w:t>
      </w:r>
      <w:r w:rsidR="003D39CB" w:rsidRPr="00042F25">
        <w:t>01</w:t>
      </w:r>
      <w:r w:rsidR="001E1F40">
        <w:t>2</w:t>
      </w:r>
      <w:r w:rsidRPr="00042F25">
        <w:t xml:space="preserve">) para o seu cálculo: </w:t>
      </w:r>
    </w:p>
    <w:p w14:paraId="30608FB7" w14:textId="60193781" w:rsidR="00F4306B" w:rsidRPr="00042F25" w:rsidRDefault="00F4306B" w:rsidP="00114CDA">
      <w:pPr>
        <w:jc w:val="center"/>
      </w:pPr>
      <m:oMathPara>
        <m:oMath>
          <m:r>
            <w:rPr>
              <w:rFonts w:ascii="Cambria Math" w:hAnsi="Cambria Math"/>
            </w:rPr>
            <m:t xml:space="preserve">IN068= </m:t>
          </m:r>
          <m:f>
            <m:fPr>
              <m:ctrlPr>
                <w:rPr>
                  <w:rFonts w:ascii="Cambria Math" w:hAnsi="Cambria Math"/>
                  <w:i/>
                </w:rPr>
              </m:ctrlPr>
            </m:fPr>
            <m:num>
              <m:r>
                <w:rPr>
                  <w:rFonts w:ascii="Cambria Math" w:hAnsi="Cambria Math"/>
                </w:rPr>
                <m:t>BL012</m:t>
              </m:r>
            </m:num>
            <m:den>
              <m:r>
                <w:rPr>
                  <w:rFonts w:ascii="Cambria Math" w:hAnsi="Cambria Math"/>
                </w:rPr>
                <m:t>BL007</m:t>
              </m:r>
            </m:den>
          </m:f>
          <m:r>
            <w:rPr>
              <w:rFonts w:ascii="Cambria Math" w:hAnsi="Cambria Math"/>
            </w:rPr>
            <m:t>*100</m:t>
          </m:r>
        </m:oMath>
      </m:oMathPara>
    </w:p>
    <w:p w14:paraId="0376332E" w14:textId="089D1BCA" w:rsidR="00F4306B" w:rsidRPr="00042F25" w:rsidRDefault="00BF1AE3" w:rsidP="00F4306B">
      <w:r w:rsidRPr="00042F25">
        <w:t xml:space="preserve">Este indicador </w:t>
      </w:r>
      <w:r w:rsidR="00832B95" w:rsidRPr="00042F25">
        <w:t>é um parâmetro relevante para medir a eficiência do negócio e</w:t>
      </w:r>
      <w:r w:rsidRPr="00042F25">
        <w:t xml:space="preserve"> a </w:t>
      </w:r>
      <w:r w:rsidR="00832B95" w:rsidRPr="00042F25">
        <w:t>situação econômico-financeir</w:t>
      </w:r>
      <w:r w:rsidR="001E1F40">
        <w:t>a</w:t>
      </w:r>
      <w:r w:rsidR="00832B95" w:rsidRPr="00042F25">
        <w:t>.</w:t>
      </w:r>
      <w:r w:rsidR="007B7960">
        <w:t xml:space="preserve"> Para 2015 a média da amostra foi de </w:t>
      </w:r>
      <w:r w:rsidR="004947F7">
        <w:t>17,72</w:t>
      </w:r>
      <w:r w:rsidR="007B7960">
        <w:t>%, com destaques nos margens da</w:t>
      </w:r>
      <w:r w:rsidR="004947F7">
        <w:t xml:space="preserve"> SABESP,</w:t>
      </w:r>
      <w:r w:rsidR="007B7960">
        <w:t xml:space="preserve"> </w:t>
      </w:r>
      <w:r w:rsidR="004947F7">
        <w:t>CESAN</w:t>
      </w:r>
      <w:r w:rsidR="007B7960">
        <w:t xml:space="preserve"> e </w:t>
      </w:r>
      <w:r w:rsidR="004947F7">
        <w:t>COSANPA</w:t>
      </w:r>
      <w:r w:rsidR="007B7960">
        <w:t>.</w:t>
      </w:r>
    </w:p>
    <w:p w14:paraId="36E45CBA" w14:textId="0E3FBAE6" w:rsidR="00F3739F" w:rsidRDefault="00F3739F" w:rsidP="00F3739F">
      <w:pPr>
        <w:pStyle w:val="Descripcin"/>
      </w:pPr>
      <w:bookmarkStart w:id="46" w:name="_Toc493222488"/>
      <w:r w:rsidRPr="001571A1">
        <w:lastRenderedPageBreak/>
        <w:t xml:space="preserve">Quadro </w:t>
      </w:r>
      <w:fldSimple w:instr=" SEQ Quadro \* ARABIC ">
        <w:r w:rsidR="00B64D1C" w:rsidRPr="001571A1">
          <w:rPr>
            <w:noProof/>
          </w:rPr>
          <w:t>25</w:t>
        </w:r>
      </w:fldSimple>
      <w:r w:rsidRPr="001571A1">
        <w:t xml:space="preserve"> – </w:t>
      </w:r>
      <w:r w:rsidR="00FB698D" w:rsidRPr="001571A1">
        <w:t>mARGEM OPERACIONAL SEM DEPRECIAÇÃO</w:t>
      </w:r>
      <w:r w:rsidRPr="001571A1">
        <w:t xml:space="preserve"> (IN0</w:t>
      </w:r>
      <w:r w:rsidR="0065313C">
        <w:t>68</w:t>
      </w:r>
      <w:r w:rsidRPr="001571A1">
        <w:t>)</w:t>
      </w:r>
      <w:bookmarkEnd w:id="46"/>
    </w:p>
    <w:tbl>
      <w:tblPr>
        <w:tblStyle w:val="Tabladecuadrcula4-nfasis11"/>
        <w:tblW w:w="8494" w:type="dxa"/>
        <w:jc w:val="center"/>
        <w:tblLook w:val="04A0" w:firstRow="1" w:lastRow="0" w:firstColumn="1" w:lastColumn="0" w:noHBand="0" w:noVBand="1"/>
      </w:tblPr>
      <w:tblGrid>
        <w:gridCol w:w="1483"/>
        <w:gridCol w:w="1245"/>
        <w:gridCol w:w="1246"/>
        <w:gridCol w:w="1246"/>
        <w:gridCol w:w="1177"/>
        <w:gridCol w:w="1092"/>
        <w:gridCol w:w="1005"/>
      </w:tblGrid>
      <w:tr w:rsidR="004947F7" w:rsidRPr="004947F7" w14:paraId="7940B26F" w14:textId="77777777" w:rsidTr="00EA348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5123BF78" w14:textId="77777777" w:rsidR="004947F7" w:rsidRPr="004947F7" w:rsidRDefault="004947F7" w:rsidP="004947F7">
            <w:pPr>
              <w:spacing w:before="0" w:beforeAutospacing="0" w:after="0" w:afterAutospacing="0" w:line="240" w:lineRule="auto"/>
              <w:ind w:firstLine="0"/>
              <w:jc w:val="left"/>
              <w:rPr>
                <w:color w:val="FFFFFF"/>
                <w:sz w:val="22"/>
                <w:lang w:val="es-CO" w:eastAsia="es-CO"/>
              </w:rPr>
            </w:pPr>
            <w:r w:rsidRPr="004947F7">
              <w:rPr>
                <w:color w:val="FFFFFF"/>
                <w:sz w:val="22"/>
                <w:lang w:eastAsia="es-CO"/>
              </w:rPr>
              <w:t>Empresa</w:t>
            </w:r>
          </w:p>
        </w:tc>
        <w:tc>
          <w:tcPr>
            <w:tcW w:w="1245" w:type="dxa"/>
            <w:hideMark/>
          </w:tcPr>
          <w:p w14:paraId="6375343C" w14:textId="77777777" w:rsidR="004947F7" w:rsidRPr="004947F7" w:rsidRDefault="004947F7" w:rsidP="004947F7">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4947F7">
              <w:rPr>
                <w:color w:val="FFFFFF"/>
                <w:sz w:val="22"/>
                <w:lang w:eastAsia="es-CO"/>
              </w:rPr>
              <w:t>2010</w:t>
            </w:r>
          </w:p>
        </w:tc>
        <w:tc>
          <w:tcPr>
            <w:tcW w:w="1246" w:type="dxa"/>
            <w:hideMark/>
          </w:tcPr>
          <w:p w14:paraId="2261D33E" w14:textId="77777777" w:rsidR="004947F7" w:rsidRPr="004947F7" w:rsidRDefault="004947F7" w:rsidP="004947F7">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4947F7">
              <w:rPr>
                <w:color w:val="FFFFFF"/>
                <w:sz w:val="22"/>
                <w:lang w:eastAsia="es-CO"/>
              </w:rPr>
              <w:t>2011</w:t>
            </w:r>
          </w:p>
        </w:tc>
        <w:tc>
          <w:tcPr>
            <w:tcW w:w="1246" w:type="dxa"/>
            <w:hideMark/>
          </w:tcPr>
          <w:p w14:paraId="1DF1A527" w14:textId="77777777" w:rsidR="004947F7" w:rsidRPr="004947F7" w:rsidRDefault="004947F7" w:rsidP="004947F7">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4947F7">
              <w:rPr>
                <w:color w:val="FFFFFF"/>
                <w:sz w:val="22"/>
                <w:lang w:eastAsia="es-CO"/>
              </w:rPr>
              <w:t>2012</w:t>
            </w:r>
          </w:p>
        </w:tc>
        <w:tc>
          <w:tcPr>
            <w:tcW w:w="1177" w:type="dxa"/>
            <w:hideMark/>
          </w:tcPr>
          <w:p w14:paraId="5A598269" w14:textId="77777777" w:rsidR="004947F7" w:rsidRPr="004947F7" w:rsidRDefault="004947F7" w:rsidP="004947F7">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4947F7">
              <w:rPr>
                <w:color w:val="FFFFFF"/>
                <w:sz w:val="22"/>
                <w:lang w:eastAsia="es-CO"/>
              </w:rPr>
              <w:t>2013</w:t>
            </w:r>
          </w:p>
        </w:tc>
        <w:tc>
          <w:tcPr>
            <w:tcW w:w="1092" w:type="dxa"/>
            <w:hideMark/>
          </w:tcPr>
          <w:p w14:paraId="36ECEDA8" w14:textId="77777777" w:rsidR="004947F7" w:rsidRPr="004947F7" w:rsidRDefault="004947F7" w:rsidP="004947F7">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4947F7">
              <w:rPr>
                <w:color w:val="FFFFFF"/>
                <w:sz w:val="22"/>
                <w:lang w:eastAsia="es-CO"/>
              </w:rPr>
              <w:t>2014</w:t>
            </w:r>
          </w:p>
        </w:tc>
        <w:tc>
          <w:tcPr>
            <w:tcW w:w="1005" w:type="dxa"/>
            <w:hideMark/>
          </w:tcPr>
          <w:p w14:paraId="3A661502" w14:textId="77777777" w:rsidR="004947F7" w:rsidRPr="004947F7" w:rsidRDefault="004947F7" w:rsidP="004947F7">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4947F7">
              <w:rPr>
                <w:color w:val="FFFFFF"/>
                <w:sz w:val="22"/>
                <w:lang w:eastAsia="es-CO"/>
              </w:rPr>
              <w:t>2015</w:t>
            </w:r>
          </w:p>
        </w:tc>
      </w:tr>
      <w:tr w:rsidR="004947F7" w:rsidRPr="004947F7" w14:paraId="758ACBD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420A3BD1"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Agespisa</w:t>
            </w:r>
          </w:p>
        </w:tc>
        <w:tc>
          <w:tcPr>
            <w:tcW w:w="1245" w:type="dxa"/>
            <w:hideMark/>
          </w:tcPr>
          <w:p w14:paraId="1DA5A58F"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-26,54%</w:t>
            </w:r>
          </w:p>
        </w:tc>
        <w:tc>
          <w:tcPr>
            <w:tcW w:w="1246" w:type="dxa"/>
            <w:hideMark/>
          </w:tcPr>
          <w:p w14:paraId="76CD104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-6,43%</w:t>
            </w:r>
          </w:p>
        </w:tc>
        <w:tc>
          <w:tcPr>
            <w:tcW w:w="1246" w:type="dxa"/>
            <w:hideMark/>
          </w:tcPr>
          <w:p w14:paraId="33F55505"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5,59%</w:t>
            </w:r>
          </w:p>
        </w:tc>
        <w:tc>
          <w:tcPr>
            <w:tcW w:w="1177" w:type="dxa"/>
            <w:hideMark/>
          </w:tcPr>
          <w:p w14:paraId="65CB7EB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-18,47%</w:t>
            </w:r>
          </w:p>
        </w:tc>
        <w:tc>
          <w:tcPr>
            <w:tcW w:w="1092" w:type="dxa"/>
            <w:hideMark/>
          </w:tcPr>
          <w:p w14:paraId="4AC889B8"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-34,65%</w:t>
            </w:r>
          </w:p>
        </w:tc>
        <w:tc>
          <w:tcPr>
            <w:tcW w:w="1005" w:type="dxa"/>
            <w:hideMark/>
          </w:tcPr>
          <w:p w14:paraId="0A5838E1"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-4,61%</w:t>
            </w:r>
          </w:p>
        </w:tc>
      </w:tr>
      <w:tr w:rsidR="004947F7" w:rsidRPr="004947F7" w14:paraId="021DDCBC"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68BA77C7"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Caema</w:t>
            </w:r>
          </w:p>
        </w:tc>
        <w:tc>
          <w:tcPr>
            <w:tcW w:w="1245" w:type="dxa"/>
            <w:hideMark/>
          </w:tcPr>
          <w:p w14:paraId="5491FF8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32,96%</w:t>
            </w:r>
          </w:p>
        </w:tc>
        <w:tc>
          <w:tcPr>
            <w:tcW w:w="1246" w:type="dxa"/>
            <w:hideMark/>
          </w:tcPr>
          <w:p w14:paraId="0005EAD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41,84%</w:t>
            </w:r>
          </w:p>
        </w:tc>
        <w:tc>
          <w:tcPr>
            <w:tcW w:w="1246" w:type="dxa"/>
            <w:hideMark/>
          </w:tcPr>
          <w:p w14:paraId="7E0FF8EC"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44,97%</w:t>
            </w:r>
          </w:p>
        </w:tc>
        <w:tc>
          <w:tcPr>
            <w:tcW w:w="1177" w:type="dxa"/>
            <w:hideMark/>
          </w:tcPr>
          <w:p w14:paraId="45CD715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40,41%</w:t>
            </w:r>
          </w:p>
        </w:tc>
        <w:tc>
          <w:tcPr>
            <w:tcW w:w="1092" w:type="dxa"/>
            <w:hideMark/>
          </w:tcPr>
          <w:p w14:paraId="7582FFA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9,15%</w:t>
            </w:r>
          </w:p>
        </w:tc>
        <w:tc>
          <w:tcPr>
            <w:tcW w:w="1005" w:type="dxa"/>
            <w:hideMark/>
          </w:tcPr>
          <w:p w14:paraId="3D97C2ED"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8,33%</w:t>
            </w:r>
          </w:p>
        </w:tc>
      </w:tr>
      <w:tr w:rsidR="004947F7" w:rsidRPr="004947F7" w14:paraId="6B942B9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4EA9DB95"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Caer</w:t>
            </w:r>
          </w:p>
        </w:tc>
        <w:tc>
          <w:tcPr>
            <w:tcW w:w="1245" w:type="dxa"/>
            <w:hideMark/>
          </w:tcPr>
          <w:p w14:paraId="6559C15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13,02%</w:t>
            </w:r>
          </w:p>
        </w:tc>
        <w:tc>
          <w:tcPr>
            <w:tcW w:w="1246" w:type="dxa"/>
            <w:hideMark/>
          </w:tcPr>
          <w:p w14:paraId="3F5A1745"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13,56%</w:t>
            </w:r>
          </w:p>
        </w:tc>
        <w:tc>
          <w:tcPr>
            <w:tcW w:w="1246" w:type="dxa"/>
            <w:hideMark/>
          </w:tcPr>
          <w:p w14:paraId="7E3B798B"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-25,38%</w:t>
            </w:r>
          </w:p>
        </w:tc>
        <w:tc>
          <w:tcPr>
            <w:tcW w:w="1177" w:type="dxa"/>
            <w:hideMark/>
          </w:tcPr>
          <w:p w14:paraId="4AB2D4A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-50,31%</w:t>
            </w:r>
          </w:p>
        </w:tc>
        <w:tc>
          <w:tcPr>
            <w:tcW w:w="1092" w:type="dxa"/>
            <w:hideMark/>
          </w:tcPr>
          <w:p w14:paraId="499456E4"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-79,54%</w:t>
            </w:r>
          </w:p>
        </w:tc>
        <w:tc>
          <w:tcPr>
            <w:tcW w:w="1005" w:type="dxa"/>
            <w:hideMark/>
          </w:tcPr>
          <w:p w14:paraId="5AD6555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-48,44%</w:t>
            </w:r>
          </w:p>
        </w:tc>
      </w:tr>
      <w:tr w:rsidR="004947F7" w:rsidRPr="004947F7" w14:paraId="07DECCD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2E5922E9"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Caerd</w:t>
            </w:r>
          </w:p>
        </w:tc>
        <w:tc>
          <w:tcPr>
            <w:tcW w:w="1245" w:type="dxa"/>
            <w:hideMark/>
          </w:tcPr>
          <w:p w14:paraId="2C9D2395"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-39,20%</w:t>
            </w:r>
          </w:p>
        </w:tc>
        <w:tc>
          <w:tcPr>
            <w:tcW w:w="1246" w:type="dxa"/>
            <w:hideMark/>
          </w:tcPr>
          <w:p w14:paraId="236AC3ED"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-27,14%</w:t>
            </w:r>
          </w:p>
        </w:tc>
        <w:tc>
          <w:tcPr>
            <w:tcW w:w="1246" w:type="dxa"/>
            <w:hideMark/>
          </w:tcPr>
          <w:p w14:paraId="51EB28CC"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-26,66%</w:t>
            </w:r>
          </w:p>
        </w:tc>
        <w:tc>
          <w:tcPr>
            <w:tcW w:w="1177" w:type="dxa"/>
            <w:hideMark/>
          </w:tcPr>
          <w:p w14:paraId="458901C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28,06%</w:t>
            </w:r>
          </w:p>
        </w:tc>
        <w:tc>
          <w:tcPr>
            <w:tcW w:w="1092" w:type="dxa"/>
            <w:hideMark/>
          </w:tcPr>
          <w:p w14:paraId="34174B06"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20,66%</w:t>
            </w:r>
          </w:p>
        </w:tc>
        <w:tc>
          <w:tcPr>
            <w:tcW w:w="1005" w:type="dxa"/>
            <w:hideMark/>
          </w:tcPr>
          <w:p w14:paraId="7CA60370"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36,26%</w:t>
            </w:r>
          </w:p>
        </w:tc>
      </w:tr>
      <w:tr w:rsidR="004947F7" w:rsidRPr="004947F7" w14:paraId="7424A96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0965E06D"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Caern</w:t>
            </w:r>
          </w:p>
        </w:tc>
        <w:tc>
          <w:tcPr>
            <w:tcW w:w="1245" w:type="dxa"/>
            <w:hideMark/>
          </w:tcPr>
          <w:p w14:paraId="245F7A89"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17,01%</w:t>
            </w:r>
          </w:p>
        </w:tc>
        <w:tc>
          <w:tcPr>
            <w:tcW w:w="1246" w:type="dxa"/>
            <w:hideMark/>
          </w:tcPr>
          <w:p w14:paraId="7DEC917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12,49%</w:t>
            </w:r>
          </w:p>
        </w:tc>
        <w:tc>
          <w:tcPr>
            <w:tcW w:w="1246" w:type="dxa"/>
            <w:hideMark/>
          </w:tcPr>
          <w:p w14:paraId="7794745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12,14%</w:t>
            </w:r>
          </w:p>
        </w:tc>
        <w:tc>
          <w:tcPr>
            <w:tcW w:w="1177" w:type="dxa"/>
            <w:hideMark/>
          </w:tcPr>
          <w:p w14:paraId="153F205E"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6,48%</w:t>
            </w:r>
          </w:p>
        </w:tc>
        <w:tc>
          <w:tcPr>
            <w:tcW w:w="1092" w:type="dxa"/>
            <w:hideMark/>
          </w:tcPr>
          <w:p w14:paraId="31C98101"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14,01%</w:t>
            </w:r>
          </w:p>
        </w:tc>
        <w:tc>
          <w:tcPr>
            <w:tcW w:w="1005" w:type="dxa"/>
            <w:hideMark/>
          </w:tcPr>
          <w:p w14:paraId="1A66C87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10,38%</w:t>
            </w:r>
          </w:p>
        </w:tc>
      </w:tr>
      <w:tr w:rsidR="004947F7" w:rsidRPr="004947F7" w14:paraId="55170E7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3D830AFD"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Caesa</w:t>
            </w:r>
          </w:p>
        </w:tc>
        <w:tc>
          <w:tcPr>
            <w:tcW w:w="1245" w:type="dxa"/>
            <w:hideMark/>
          </w:tcPr>
          <w:p w14:paraId="6749657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0,76%</w:t>
            </w:r>
          </w:p>
        </w:tc>
        <w:tc>
          <w:tcPr>
            <w:tcW w:w="1246" w:type="dxa"/>
            <w:hideMark/>
          </w:tcPr>
          <w:p w14:paraId="05C5C8F1"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17,82%</w:t>
            </w:r>
          </w:p>
        </w:tc>
        <w:tc>
          <w:tcPr>
            <w:tcW w:w="1246" w:type="dxa"/>
            <w:hideMark/>
          </w:tcPr>
          <w:p w14:paraId="0FBA8910"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c>
          <w:tcPr>
            <w:tcW w:w="1177" w:type="dxa"/>
            <w:hideMark/>
          </w:tcPr>
          <w:p w14:paraId="0228F78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25,03%</w:t>
            </w:r>
          </w:p>
        </w:tc>
        <w:tc>
          <w:tcPr>
            <w:tcW w:w="1092" w:type="dxa"/>
            <w:hideMark/>
          </w:tcPr>
          <w:p w14:paraId="78AD42F8"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29,48%</w:t>
            </w:r>
          </w:p>
        </w:tc>
        <w:tc>
          <w:tcPr>
            <w:tcW w:w="1005" w:type="dxa"/>
            <w:hideMark/>
          </w:tcPr>
          <w:p w14:paraId="29EF1C22"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30,59%</w:t>
            </w:r>
          </w:p>
        </w:tc>
      </w:tr>
      <w:tr w:rsidR="004947F7" w:rsidRPr="004947F7" w14:paraId="1B8F447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70926AA1"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Caesb</w:t>
            </w:r>
          </w:p>
        </w:tc>
        <w:tc>
          <w:tcPr>
            <w:tcW w:w="1245" w:type="dxa"/>
            <w:hideMark/>
          </w:tcPr>
          <w:p w14:paraId="3C11914F"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21,64%</w:t>
            </w:r>
          </w:p>
        </w:tc>
        <w:tc>
          <w:tcPr>
            <w:tcW w:w="1246" w:type="dxa"/>
            <w:hideMark/>
          </w:tcPr>
          <w:p w14:paraId="0900500E"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6,68%</w:t>
            </w:r>
          </w:p>
        </w:tc>
        <w:tc>
          <w:tcPr>
            <w:tcW w:w="1246" w:type="dxa"/>
            <w:hideMark/>
          </w:tcPr>
          <w:p w14:paraId="6C0BE015"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9,14%</w:t>
            </w:r>
          </w:p>
        </w:tc>
        <w:tc>
          <w:tcPr>
            <w:tcW w:w="1177" w:type="dxa"/>
            <w:hideMark/>
          </w:tcPr>
          <w:p w14:paraId="1EA06BE9"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9,43%</w:t>
            </w:r>
          </w:p>
        </w:tc>
        <w:tc>
          <w:tcPr>
            <w:tcW w:w="1092" w:type="dxa"/>
            <w:hideMark/>
          </w:tcPr>
          <w:p w14:paraId="0B587AE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4,61%</w:t>
            </w:r>
          </w:p>
        </w:tc>
        <w:tc>
          <w:tcPr>
            <w:tcW w:w="1005" w:type="dxa"/>
            <w:hideMark/>
          </w:tcPr>
          <w:p w14:paraId="5C6EA3D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12,45%</w:t>
            </w:r>
          </w:p>
        </w:tc>
      </w:tr>
      <w:tr w:rsidR="004947F7" w:rsidRPr="004947F7" w14:paraId="3AA36F2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62437F1F"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Cagece</w:t>
            </w:r>
          </w:p>
        </w:tc>
        <w:tc>
          <w:tcPr>
            <w:tcW w:w="1245" w:type="dxa"/>
            <w:hideMark/>
          </w:tcPr>
          <w:p w14:paraId="5270B0F0"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10,93%</w:t>
            </w:r>
          </w:p>
        </w:tc>
        <w:tc>
          <w:tcPr>
            <w:tcW w:w="1246" w:type="dxa"/>
            <w:hideMark/>
          </w:tcPr>
          <w:p w14:paraId="4840B78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15,74%</w:t>
            </w:r>
          </w:p>
        </w:tc>
        <w:tc>
          <w:tcPr>
            <w:tcW w:w="1246" w:type="dxa"/>
            <w:hideMark/>
          </w:tcPr>
          <w:p w14:paraId="75CCEBA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17,93%</w:t>
            </w:r>
          </w:p>
        </w:tc>
        <w:tc>
          <w:tcPr>
            <w:tcW w:w="1177" w:type="dxa"/>
            <w:hideMark/>
          </w:tcPr>
          <w:p w14:paraId="5178BE41"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16,98%</w:t>
            </w:r>
          </w:p>
        </w:tc>
        <w:tc>
          <w:tcPr>
            <w:tcW w:w="1092" w:type="dxa"/>
            <w:hideMark/>
          </w:tcPr>
          <w:p w14:paraId="2027AF2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13,58%</w:t>
            </w:r>
          </w:p>
        </w:tc>
        <w:tc>
          <w:tcPr>
            <w:tcW w:w="1005" w:type="dxa"/>
            <w:hideMark/>
          </w:tcPr>
          <w:p w14:paraId="2D769E4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1,83%</w:t>
            </w:r>
          </w:p>
        </w:tc>
      </w:tr>
      <w:tr w:rsidR="004947F7" w:rsidRPr="004947F7" w14:paraId="36DA591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2AEBDEB8"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Cagepa</w:t>
            </w:r>
          </w:p>
        </w:tc>
        <w:tc>
          <w:tcPr>
            <w:tcW w:w="1245" w:type="dxa"/>
            <w:hideMark/>
          </w:tcPr>
          <w:p w14:paraId="35CC117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13,26%</w:t>
            </w:r>
          </w:p>
        </w:tc>
        <w:tc>
          <w:tcPr>
            <w:tcW w:w="1246" w:type="dxa"/>
            <w:hideMark/>
          </w:tcPr>
          <w:p w14:paraId="70C79750"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5,34%</w:t>
            </w:r>
          </w:p>
        </w:tc>
        <w:tc>
          <w:tcPr>
            <w:tcW w:w="1246" w:type="dxa"/>
            <w:hideMark/>
          </w:tcPr>
          <w:p w14:paraId="3404CD0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2,41%</w:t>
            </w:r>
          </w:p>
        </w:tc>
        <w:tc>
          <w:tcPr>
            <w:tcW w:w="1177" w:type="dxa"/>
            <w:hideMark/>
          </w:tcPr>
          <w:p w14:paraId="373A4DDA"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4,38%</w:t>
            </w:r>
          </w:p>
        </w:tc>
        <w:tc>
          <w:tcPr>
            <w:tcW w:w="1092" w:type="dxa"/>
            <w:hideMark/>
          </w:tcPr>
          <w:p w14:paraId="52C96289"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2,90%</w:t>
            </w:r>
          </w:p>
        </w:tc>
        <w:tc>
          <w:tcPr>
            <w:tcW w:w="1005" w:type="dxa"/>
            <w:hideMark/>
          </w:tcPr>
          <w:p w14:paraId="12D60068"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-1,44%</w:t>
            </w:r>
          </w:p>
        </w:tc>
      </w:tr>
      <w:tr w:rsidR="004947F7" w:rsidRPr="004947F7" w14:paraId="25A5EE5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7197BF5C"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Casal</w:t>
            </w:r>
          </w:p>
        </w:tc>
        <w:tc>
          <w:tcPr>
            <w:tcW w:w="1245" w:type="dxa"/>
            <w:hideMark/>
          </w:tcPr>
          <w:p w14:paraId="6595129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11,43%</w:t>
            </w:r>
          </w:p>
        </w:tc>
        <w:tc>
          <w:tcPr>
            <w:tcW w:w="1246" w:type="dxa"/>
            <w:hideMark/>
          </w:tcPr>
          <w:p w14:paraId="22F854AD"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48,58%</w:t>
            </w:r>
          </w:p>
        </w:tc>
        <w:tc>
          <w:tcPr>
            <w:tcW w:w="1246" w:type="dxa"/>
            <w:hideMark/>
          </w:tcPr>
          <w:p w14:paraId="2BD52E71"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14,74%</w:t>
            </w:r>
          </w:p>
        </w:tc>
        <w:tc>
          <w:tcPr>
            <w:tcW w:w="1177" w:type="dxa"/>
            <w:hideMark/>
          </w:tcPr>
          <w:p w14:paraId="2C63645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0,18%</w:t>
            </w:r>
          </w:p>
        </w:tc>
        <w:tc>
          <w:tcPr>
            <w:tcW w:w="1092" w:type="dxa"/>
            <w:hideMark/>
          </w:tcPr>
          <w:p w14:paraId="7C0E3047"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2,99%</w:t>
            </w:r>
          </w:p>
        </w:tc>
        <w:tc>
          <w:tcPr>
            <w:tcW w:w="1005" w:type="dxa"/>
            <w:hideMark/>
          </w:tcPr>
          <w:p w14:paraId="475F1498"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8,14%</w:t>
            </w:r>
          </w:p>
        </w:tc>
      </w:tr>
      <w:tr w:rsidR="004947F7" w:rsidRPr="004947F7" w14:paraId="54DAC9C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69B5B215"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Casan</w:t>
            </w:r>
          </w:p>
        </w:tc>
        <w:tc>
          <w:tcPr>
            <w:tcW w:w="1245" w:type="dxa"/>
            <w:hideMark/>
          </w:tcPr>
          <w:p w14:paraId="7A7DC31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5,10%</w:t>
            </w:r>
          </w:p>
        </w:tc>
        <w:tc>
          <w:tcPr>
            <w:tcW w:w="1246" w:type="dxa"/>
            <w:hideMark/>
          </w:tcPr>
          <w:p w14:paraId="45B24609"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12,78%</w:t>
            </w:r>
          </w:p>
        </w:tc>
        <w:tc>
          <w:tcPr>
            <w:tcW w:w="1246" w:type="dxa"/>
            <w:hideMark/>
          </w:tcPr>
          <w:p w14:paraId="6335AAB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17,36%</w:t>
            </w:r>
          </w:p>
        </w:tc>
        <w:tc>
          <w:tcPr>
            <w:tcW w:w="1177" w:type="dxa"/>
            <w:hideMark/>
          </w:tcPr>
          <w:p w14:paraId="1CE2704B"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22,46%</w:t>
            </w:r>
          </w:p>
        </w:tc>
        <w:tc>
          <w:tcPr>
            <w:tcW w:w="1092" w:type="dxa"/>
            <w:hideMark/>
          </w:tcPr>
          <w:p w14:paraId="35FAA9DD"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31,53%</w:t>
            </w:r>
          </w:p>
        </w:tc>
        <w:tc>
          <w:tcPr>
            <w:tcW w:w="1005" w:type="dxa"/>
            <w:hideMark/>
          </w:tcPr>
          <w:p w14:paraId="6C535B19"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19,38%</w:t>
            </w:r>
          </w:p>
        </w:tc>
      </w:tr>
      <w:tr w:rsidR="004947F7" w:rsidRPr="004947F7" w14:paraId="13FFC0E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687C2006"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Cedae</w:t>
            </w:r>
          </w:p>
        </w:tc>
        <w:tc>
          <w:tcPr>
            <w:tcW w:w="1245" w:type="dxa"/>
            <w:hideMark/>
          </w:tcPr>
          <w:p w14:paraId="7CE5779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14,19%</w:t>
            </w:r>
          </w:p>
        </w:tc>
        <w:tc>
          <w:tcPr>
            <w:tcW w:w="1246" w:type="dxa"/>
            <w:hideMark/>
          </w:tcPr>
          <w:p w14:paraId="0A2AE8C1"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27,53%</w:t>
            </w:r>
          </w:p>
        </w:tc>
        <w:tc>
          <w:tcPr>
            <w:tcW w:w="1246" w:type="dxa"/>
            <w:hideMark/>
          </w:tcPr>
          <w:p w14:paraId="2B2FED6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18,72%</w:t>
            </w:r>
          </w:p>
        </w:tc>
        <w:tc>
          <w:tcPr>
            <w:tcW w:w="1177" w:type="dxa"/>
            <w:hideMark/>
          </w:tcPr>
          <w:p w14:paraId="68B49370"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23,96%</w:t>
            </w:r>
          </w:p>
        </w:tc>
        <w:tc>
          <w:tcPr>
            <w:tcW w:w="1092" w:type="dxa"/>
            <w:hideMark/>
          </w:tcPr>
          <w:p w14:paraId="728920E7"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25,51%</w:t>
            </w:r>
          </w:p>
        </w:tc>
        <w:tc>
          <w:tcPr>
            <w:tcW w:w="1005" w:type="dxa"/>
            <w:hideMark/>
          </w:tcPr>
          <w:p w14:paraId="11C0295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19,82%</w:t>
            </w:r>
          </w:p>
        </w:tc>
      </w:tr>
      <w:tr w:rsidR="004947F7" w:rsidRPr="004947F7" w14:paraId="0B5C7D9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5598623E"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Cesan</w:t>
            </w:r>
          </w:p>
        </w:tc>
        <w:tc>
          <w:tcPr>
            <w:tcW w:w="1245" w:type="dxa"/>
            <w:hideMark/>
          </w:tcPr>
          <w:p w14:paraId="51FDB5D2"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25,28%</w:t>
            </w:r>
          </w:p>
        </w:tc>
        <w:tc>
          <w:tcPr>
            <w:tcW w:w="1246" w:type="dxa"/>
            <w:hideMark/>
          </w:tcPr>
          <w:p w14:paraId="0D351634"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27,78%</w:t>
            </w:r>
          </w:p>
        </w:tc>
        <w:tc>
          <w:tcPr>
            <w:tcW w:w="1246" w:type="dxa"/>
            <w:hideMark/>
          </w:tcPr>
          <w:p w14:paraId="48A1855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25,74%</w:t>
            </w:r>
          </w:p>
        </w:tc>
        <w:tc>
          <w:tcPr>
            <w:tcW w:w="1177" w:type="dxa"/>
            <w:hideMark/>
          </w:tcPr>
          <w:p w14:paraId="7785E44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27,21%</w:t>
            </w:r>
          </w:p>
        </w:tc>
        <w:tc>
          <w:tcPr>
            <w:tcW w:w="1092" w:type="dxa"/>
            <w:hideMark/>
          </w:tcPr>
          <w:p w14:paraId="66943B8E"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19,09%</w:t>
            </w:r>
          </w:p>
        </w:tc>
        <w:tc>
          <w:tcPr>
            <w:tcW w:w="1005" w:type="dxa"/>
            <w:hideMark/>
          </w:tcPr>
          <w:p w14:paraId="5FBDB1D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44,58%</w:t>
            </w:r>
          </w:p>
        </w:tc>
      </w:tr>
      <w:tr w:rsidR="004947F7" w:rsidRPr="004947F7" w14:paraId="509853B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764AE6B0"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Compesa</w:t>
            </w:r>
          </w:p>
        </w:tc>
        <w:tc>
          <w:tcPr>
            <w:tcW w:w="1245" w:type="dxa"/>
            <w:hideMark/>
          </w:tcPr>
          <w:p w14:paraId="3280F02A"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6,36%</w:t>
            </w:r>
          </w:p>
        </w:tc>
        <w:tc>
          <w:tcPr>
            <w:tcW w:w="1246" w:type="dxa"/>
            <w:hideMark/>
          </w:tcPr>
          <w:p w14:paraId="178A4969"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9,48%</w:t>
            </w:r>
          </w:p>
        </w:tc>
        <w:tc>
          <w:tcPr>
            <w:tcW w:w="1246" w:type="dxa"/>
            <w:hideMark/>
          </w:tcPr>
          <w:p w14:paraId="2F2F05E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6,42%</w:t>
            </w:r>
          </w:p>
        </w:tc>
        <w:tc>
          <w:tcPr>
            <w:tcW w:w="1177" w:type="dxa"/>
            <w:hideMark/>
          </w:tcPr>
          <w:p w14:paraId="3A034B8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7,56%</w:t>
            </w:r>
          </w:p>
        </w:tc>
        <w:tc>
          <w:tcPr>
            <w:tcW w:w="1092" w:type="dxa"/>
            <w:hideMark/>
          </w:tcPr>
          <w:p w14:paraId="2B768D75"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8,54%</w:t>
            </w:r>
          </w:p>
        </w:tc>
        <w:tc>
          <w:tcPr>
            <w:tcW w:w="1005" w:type="dxa"/>
            <w:hideMark/>
          </w:tcPr>
          <w:p w14:paraId="7E1D998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10,83%</w:t>
            </w:r>
          </w:p>
        </w:tc>
      </w:tr>
      <w:tr w:rsidR="004947F7" w:rsidRPr="004947F7" w14:paraId="67E822E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7ED18FBD"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Copasa</w:t>
            </w:r>
          </w:p>
        </w:tc>
        <w:tc>
          <w:tcPr>
            <w:tcW w:w="1245" w:type="dxa"/>
            <w:hideMark/>
          </w:tcPr>
          <w:p w14:paraId="48843F32"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48,80%</w:t>
            </w:r>
          </w:p>
        </w:tc>
        <w:tc>
          <w:tcPr>
            <w:tcW w:w="1246" w:type="dxa"/>
            <w:hideMark/>
          </w:tcPr>
          <w:p w14:paraId="14792C9F"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38,52%</w:t>
            </w:r>
          </w:p>
        </w:tc>
        <w:tc>
          <w:tcPr>
            <w:tcW w:w="1246" w:type="dxa"/>
            <w:hideMark/>
          </w:tcPr>
          <w:p w14:paraId="07B17FDF"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37,89%</w:t>
            </w:r>
          </w:p>
        </w:tc>
        <w:tc>
          <w:tcPr>
            <w:tcW w:w="1177" w:type="dxa"/>
            <w:hideMark/>
          </w:tcPr>
          <w:p w14:paraId="3F8332A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35,20%</w:t>
            </w:r>
          </w:p>
        </w:tc>
        <w:tc>
          <w:tcPr>
            <w:tcW w:w="1092" w:type="dxa"/>
            <w:hideMark/>
          </w:tcPr>
          <w:p w14:paraId="273B03B1"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32,10%</w:t>
            </w:r>
          </w:p>
        </w:tc>
        <w:tc>
          <w:tcPr>
            <w:tcW w:w="1005" w:type="dxa"/>
            <w:hideMark/>
          </w:tcPr>
          <w:p w14:paraId="1E095AAB"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24,39%</w:t>
            </w:r>
          </w:p>
        </w:tc>
      </w:tr>
      <w:tr w:rsidR="004947F7" w:rsidRPr="004947F7" w14:paraId="415BFD0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4F8F7DB0"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Corsan</w:t>
            </w:r>
          </w:p>
        </w:tc>
        <w:tc>
          <w:tcPr>
            <w:tcW w:w="1245" w:type="dxa"/>
            <w:hideMark/>
          </w:tcPr>
          <w:p w14:paraId="4ED5A240"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20,04%</w:t>
            </w:r>
          </w:p>
        </w:tc>
        <w:tc>
          <w:tcPr>
            <w:tcW w:w="1246" w:type="dxa"/>
            <w:hideMark/>
          </w:tcPr>
          <w:p w14:paraId="74BE5ED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26,11%</w:t>
            </w:r>
          </w:p>
        </w:tc>
        <w:tc>
          <w:tcPr>
            <w:tcW w:w="1246" w:type="dxa"/>
            <w:hideMark/>
          </w:tcPr>
          <w:p w14:paraId="464A60E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16,29%</w:t>
            </w:r>
          </w:p>
        </w:tc>
        <w:tc>
          <w:tcPr>
            <w:tcW w:w="1177" w:type="dxa"/>
            <w:hideMark/>
          </w:tcPr>
          <w:p w14:paraId="2E73B038"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15,63%</w:t>
            </w:r>
          </w:p>
        </w:tc>
        <w:tc>
          <w:tcPr>
            <w:tcW w:w="1092" w:type="dxa"/>
            <w:hideMark/>
          </w:tcPr>
          <w:p w14:paraId="273C205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17,01%</w:t>
            </w:r>
          </w:p>
        </w:tc>
        <w:tc>
          <w:tcPr>
            <w:tcW w:w="1005" w:type="dxa"/>
            <w:hideMark/>
          </w:tcPr>
          <w:p w14:paraId="48B0CAAC"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14,18%</w:t>
            </w:r>
          </w:p>
        </w:tc>
      </w:tr>
      <w:tr w:rsidR="004947F7" w:rsidRPr="004947F7" w14:paraId="3B163E9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0105E503"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Cosanpa</w:t>
            </w:r>
          </w:p>
        </w:tc>
        <w:tc>
          <w:tcPr>
            <w:tcW w:w="1245" w:type="dxa"/>
            <w:hideMark/>
          </w:tcPr>
          <w:p w14:paraId="5A2F48CE"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-41,74%</w:t>
            </w:r>
          </w:p>
        </w:tc>
        <w:tc>
          <w:tcPr>
            <w:tcW w:w="1246" w:type="dxa"/>
            <w:hideMark/>
          </w:tcPr>
          <w:p w14:paraId="6308E0D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-33,70%</w:t>
            </w:r>
          </w:p>
        </w:tc>
        <w:tc>
          <w:tcPr>
            <w:tcW w:w="1246" w:type="dxa"/>
            <w:hideMark/>
          </w:tcPr>
          <w:p w14:paraId="66A5E9B9"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-48,11%</w:t>
            </w:r>
          </w:p>
        </w:tc>
        <w:tc>
          <w:tcPr>
            <w:tcW w:w="1177" w:type="dxa"/>
            <w:hideMark/>
          </w:tcPr>
          <w:p w14:paraId="06044DB4"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53,80%</w:t>
            </w:r>
          </w:p>
        </w:tc>
        <w:tc>
          <w:tcPr>
            <w:tcW w:w="1092" w:type="dxa"/>
            <w:hideMark/>
          </w:tcPr>
          <w:p w14:paraId="6E25B0A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23,35%</w:t>
            </w:r>
          </w:p>
        </w:tc>
        <w:tc>
          <w:tcPr>
            <w:tcW w:w="1005" w:type="dxa"/>
            <w:hideMark/>
          </w:tcPr>
          <w:p w14:paraId="36F6F4B3"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95,77%</w:t>
            </w:r>
          </w:p>
        </w:tc>
      </w:tr>
      <w:tr w:rsidR="004947F7" w:rsidRPr="004947F7" w14:paraId="31F1E95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5F6BC5E0"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Depasa</w:t>
            </w:r>
          </w:p>
        </w:tc>
        <w:tc>
          <w:tcPr>
            <w:tcW w:w="1245" w:type="dxa"/>
            <w:hideMark/>
          </w:tcPr>
          <w:p w14:paraId="449303D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c>
          <w:tcPr>
            <w:tcW w:w="1246" w:type="dxa"/>
            <w:hideMark/>
          </w:tcPr>
          <w:p w14:paraId="5707CE76"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c>
          <w:tcPr>
            <w:tcW w:w="1246" w:type="dxa"/>
            <w:hideMark/>
          </w:tcPr>
          <w:p w14:paraId="61885FE7"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c>
          <w:tcPr>
            <w:tcW w:w="1177" w:type="dxa"/>
            <w:hideMark/>
          </w:tcPr>
          <w:p w14:paraId="47D4155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c>
          <w:tcPr>
            <w:tcW w:w="1092" w:type="dxa"/>
            <w:hideMark/>
          </w:tcPr>
          <w:p w14:paraId="2E44283D"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c>
          <w:tcPr>
            <w:tcW w:w="1005" w:type="dxa"/>
            <w:hideMark/>
          </w:tcPr>
          <w:p w14:paraId="07C88062"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NA</w:t>
            </w:r>
          </w:p>
        </w:tc>
      </w:tr>
      <w:tr w:rsidR="004947F7" w:rsidRPr="004947F7" w14:paraId="4E7F2B3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2892BD13"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Deso</w:t>
            </w:r>
          </w:p>
        </w:tc>
        <w:tc>
          <w:tcPr>
            <w:tcW w:w="1245" w:type="dxa"/>
            <w:hideMark/>
          </w:tcPr>
          <w:p w14:paraId="206C5A65"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-42,19%</w:t>
            </w:r>
          </w:p>
        </w:tc>
        <w:tc>
          <w:tcPr>
            <w:tcW w:w="1246" w:type="dxa"/>
            <w:hideMark/>
          </w:tcPr>
          <w:p w14:paraId="77D49C05"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10,70%</w:t>
            </w:r>
          </w:p>
        </w:tc>
        <w:tc>
          <w:tcPr>
            <w:tcW w:w="1246" w:type="dxa"/>
            <w:hideMark/>
          </w:tcPr>
          <w:p w14:paraId="32726906"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9,81%</w:t>
            </w:r>
          </w:p>
        </w:tc>
        <w:tc>
          <w:tcPr>
            <w:tcW w:w="1177" w:type="dxa"/>
            <w:hideMark/>
          </w:tcPr>
          <w:p w14:paraId="6A33D2B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8,85%</w:t>
            </w:r>
          </w:p>
        </w:tc>
        <w:tc>
          <w:tcPr>
            <w:tcW w:w="1092" w:type="dxa"/>
            <w:hideMark/>
          </w:tcPr>
          <w:p w14:paraId="6128620B"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7,83%</w:t>
            </w:r>
          </w:p>
        </w:tc>
        <w:tc>
          <w:tcPr>
            <w:tcW w:w="1005" w:type="dxa"/>
            <w:hideMark/>
          </w:tcPr>
          <w:p w14:paraId="6546217A"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13,35%</w:t>
            </w:r>
          </w:p>
        </w:tc>
      </w:tr>
      <w:tr w:rsidR="004947F7" w:rsidRPr="004947F7" w14:paraId="3DC2007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7FAA04BE"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Embasa</w:t>
            </w:r>
          </w:p>
        </w:tc>
        <w:tc>
          <w:tcPr>
            <w:tcW w:w="1245" w:type="dxa"/>
            <w:hideMark/>
          </w:tcPr>
          <w:p w14:paraId="3884E176"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26,59%</w:t>
            </w:r>
          </w:p>
        </w:tc>
        <w:tc>
          <w:tcPr>
            <w:tcW w:w="1246" w:type="dxa"/>
            <w:hideMark/>
          </w:tcPr>
          <w:p w14:paraId="5CCA5032"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18,65%</w:t>
            </w:r>
          </w:p>
        </w:tc>
        <w:tc>
          <w:tcPr>
            <w:tcW w:w="1246" w:type="dxa"/>
            <w:hideMark/>
          </w:tcPr>
          <w:p w14:paraId="58737052"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18,53%</w:t>
            </w:r>
          </w:p>
        </w:tc>
        <w:tc>
          <w:tcPr>
            <w:tcW w:w="1177" w:type="dxa"/>
            <w:hideMark/>
          </w:tcPr>
          <w:p w14:paraId="5FA8D1A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20,92%</w:t>
            </w:r>
          </w:p>
        </w:tc>
        <w:tc>
          <w:tcPr>
            <w:tcW w:w="1092" w:type="dxa"/>
            <w:hideMark/>
          </w:tcPr>
          <w:p w14:paraId="6A80DC85"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17,02%</w:t>
            </w:r>
          </w:p>
        </w:tc>
        <w:tc>
          <w:tcPr>
            <w:tcW w:w="1005" w:type="dxa"/>
            <w:hideMark/>
          </w:tcPr>
          <w:p w14:paraId="6C98D220"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17,07%</w:t>
            </w:r>
          </w:p>
        </w:tc>
      </w:tr>
      <w:tr w:rsidR="004947F7" w:rsidRPr="004947F7" w14:paraId="40ECE43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5698FCB2"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Sabesp</w:t>
            </w:r>
          </w:p>
        </w:tc>
        <w:tc>
          <w:tcPr>
            <w:tcW w:w="1245" w:type="dxa"/>
            <w:hideMark/>
          </w:tcPr>
          <w:p w14:paraId="4623113B"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42,12%</w:t>
            </w:r>
          </w:p>
        </w:tc>
        <w:tc>
          <w:tcPr>
            <w:tcW w:w="1246" w:type="dxa"/>
            <w:hideMark/>
          </w:tcPr>
          <w:p w14:paraId="4A58D2B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38,74%</w:t>
            </w:r>
          </w:p>
        </w:tc>
        <w:tc>
          <w:tcPr>
            <w:tcW w:w="1246" w:type="dxa"/>
            <w:hideMark/>
          </w:tcPr>
          <w:p w14:paraId="4C994904"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40,46%</w:t>
            </w:r>
          </w:p>
        </w:tc>
        <w:tc>
          <w:tcPr>
            <w:tcW w:w="1177" w:type="dxa"/>
            <w:hideMark/>
          </w:tcPr>
          <w:p w14:paraId="2F930CAD"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42,00%</w:t>
            </w:r>
          </w:p>
        </w:tc>
        <w:tc>
          <w:tcPr>
            <w:tcW w:w="1092" w:type="dxa"/>
            <w:hideMark/>
          </w:tcPr>
          <w:p w14:paraId="375A03BE"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32,74%</w:t>
            </w:r>
          </w:p>
        </w:tc>
        <w:tc>
          <w:tcPr>
            <w:tcW w:w="1005" w:type="dxa"/>
            <w:hideMark/>
          </w:tcPr>
          <w:p w14:paraId="134E6106"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44,42%</w:t>
            </w:r>
          </w:p>
        </w:tc>
      </w:tr>
      <w:tr w:rsidR="004947F7" w:rsidRPr="004947F7" w14:paraId="4A31FD7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5AFC054B"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Saneago</w:t>
            </w:r>
          </w:p>
        </w:tc>
        <w:tc>
          <w:tcPr>
            <w:tcW w:w="1245" w:type="dxa"/>
            <w:hideMark/>
          </w:tcPr>
          <w:p w14:paraId="1163FCFE"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32,42%</w:t>
            </w:r>
          </w:p>
        </w:tc>
        <w:tc>
          <w:tcPr>
            <w:tcW w:w="1246" w:type="dxa"/>
            <w:hideMark/>
          </w:tcPr>
          <w:p w14:paraId="43ED6195"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18,97%</w:t>
            </w:r>
          </w:p>
        </w:tc>
        <w:tc>
          <w:tcPr>
            <w:tcW w:w="1246" w:type="dxa"/>
            <w:hideMark/>
          </w:tcPr>
          <w:p w14:paraId="04C56BA5"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19,78%</w:t>
            </w:r>
          </w:p>
        </w:tc>
        <w:tc>
          <w:tcPr>
            <w:tcW w:w="1177" w:type="dxa"/>
            <w:hideMark/>
          </w:tcPr>
          <w:p w14:paraId="24BF5C9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16,38%</w:t>
            </w:r>
          </w:p>
        </w:tc>
        <w:tc>
          <w:tcPr>
            <w:tcW w:w="1092" w:type="dxa"/>
            <w:hideMark/>
          </w:tcPr>
          <w:p w14:paraId="5C505A9B"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3,11%</w:t>
            </w:r>
          </w:p>
        </w:tc>
        <w:tc>
          <w:tcPr>
            <w:tcW w:w="1005" w:type="dxa"/>
            <w:hideMark/>
          </w:tcPr>
          <w:p w14:paraId="11B0E446"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5,01%</w:t>
            </w:r>
          </w:p>
        </w:tc>
      </w:tr>
      <w:tr w:rsidR="004947F7" w:rsidRPr="004947F7" w14:paraId="7B9C3E9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7AD676C1"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val="es-CO" w:eastAsia="es-CO"/>
              </w:rPr>
              <w:t>Saneatins</w:t>
            </w:r>
          </w:p>
        </w:tc>
        <w:tc>
          <w:tcPr>
            <w:tcW w:w="1245" w:type="dxa"/>
            <w:hideMark/>
          </w:tcPr>
          <w:p w14:paraId="1096BBD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val="es-CO" w:eastAsia="es-CO"/>
              </w:rPr>
              <w:t>22,29%</w:t>
            </w:r>
          </w:p>
        </w:tc>
        <w:tc>
          <w:tcPr>
            <w:tcW w:w="1246" w:type="dxa"/>
            <w:hideMark/>
          </w:tcPr>
          <w:p w14:paraId="01B19036"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val="es-CO" w:eastAsia="es-CO"/>
              </w:rPr>
              <w:t>15,09%</w:t>
            </w:r>
          </w:p>
        </w:tc>
        <w:tc>
          <w:tcPr>
            <w:tcW w:w="1246" w:type="dxa"/>
            <w:hideMark/>
          </w:tcPr>
          <w:p w14:paraId="13F61E51"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val="es-CO" w:eastAsia="es-CO"/>
              </w:rPr>
              <w:t>9,01%</w:t>
            </w:r>
          </w:p>
        </w:tc>
        <w:tc>
          <w:tcPr>
            <w:tcW w:w="1177" w:type="dxa"/>
            <w:hideMark/>
          </w:tcPr>
          <w:p w14:paraId="63F5D3D4"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val="es-CO" w:eastAsia="es-CO"/>
              </w:rPr>
              <w:t>15,80%</w:t>
            </w:r>
          </w:p>
        </w:tc>
        <w:tc>
          <w:tcPr>
            <w:tcW w:w="1092" w:type="dxa"/>
            <w:hideMark/>
          </w:tcPr>
          <w:p w14:paraId="68CC6B04"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val="es-CO" w:eastAsia="es-CO"/>
              </w:rPr>
              <w:t>16,96%</w:t>
            </w:r>
          </w:p>
        </w:tc>
        <w:tc>
          <w:tcPr>
            <w:tcW w:w="1005" w:type="dxa"/>
            <w:hideMark/>
          </w:tcPr>
          <w:p w14:paraId="0532741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val="es-CO" w:eastAsia="es-CO"/>
              </w:rPr>
              <w:t>20,58%</w:t>
            </w:r>
          </w:p>
        </w:tc>
      </w:tr>
      <w:tr w:rsidR="004947F7" w:rsidRPr="004947F7" w14:paraId="3942259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341A1573"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Sanepar</w:t>
            </w:r>
          </w:p>
        </w:tc>
        <w:tc>
          <w:tcPr>
            <w:tcW w:w="1245" w:type="dxa"/>
            <w:hideMark/>
          </w:tcPr>
          <w:p w14:paraId="67B5BA83"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20,63%</w:t>
            </w:r>
          </w:p>
        </w:tc>
        <w:tc>
          <w:tcPr>
            <w:tcW w:w="1246" w:type="dxa"/>
            <w:hideMark/>
          </w:tcPr>
          <w:p w14:paraId="41C11658"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24,69%</w:t>
            </w:r>
          </w:p>
        </w:tc>
        <w:tc>
          <w:tcPr>
            <w:tcW w:w="1246" w:type="dxa"/>
            <w:hideMark/>
          </w:tcPr>
          <w:p w14:paraId="2783173F"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27,98%</w:t>
            </w:r>
          </w:p>
        </w:tc>
        <w:tc>
          <w:tcPr>
            <w:tcW w:w="1177" w:type="dxa"/>
            <w:hideMark/>
          </w:tcPr>
          <w:p w14:paraId="6B1F873A"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29,72%</w:t>
            </w:r>
          </w:p>
        </w:tc>
        <w:tc>
          <w:tcPr>
            <w:tcW w:w="1092" w:type="dxa"/>
            <w:hideMark/>
          </w:tcPr>
          <w:p w14:paraId="3393B6E1"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27,75%</w:t>
            </w:r>
          </w:p>
        </w:tc>
        <w:tc>
          <w:tcPr>
            <w:tcW w:w="1005" w:type="dxa"/>
            <w:hideMark/>
          </w:tcPr>
          <w:p w14:paraId="44DBA47D" w14:textId="77777777" w:rsidR="004947F7" w:rsidRPr="004947F7" w:rsidRDefault="004947F7" w:rsidP="004947F7">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4947F7">
              <w:rPr>
                <w:color w:val="000000"/>
                <w:sz w:val="22"/>
                <w:lang w:eastAsia="es-CO"/>
              </w:rPr>
              <w:t>24,72%</w:t>
            </w:r>
          </w:p>
        </w:tc>
      </w:tr>
      <w:tr w:rsidR="004947F7" w:rsidRPr="004947F7" w14:paraId="66C0F93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hideMark/>
          </w:tcPr>
          <w:p w14:paraId="39A87442" w14:textId="77777777" w:rsidR="004947F7" w:rsidRPr="004947F7" w:rsidRDefault="004947F7" w:rsidP="004947F7">
            <w:pPr>
              <w:spacing w:before="0" w:beforeAutospacing="0" w:after="0" w:afterAutospacing="0" w:line="240" w:lineRule="auto"/>
              <w:ind w:firstLine="0"/>
              <w:jc w:val="left"/>
              <w:rPr>
                <w:color w:val="000000"/>
                <w:sz w:val="22"/>
                <w:lang w:val="es-CO" w:eastAsia="es-CO"/>
              </w:rPr>
            </w:pPr>
            <w:r w:rsidRPr="004947F7">
              <w:rPr>
                <w:color w:val="000000"/>
                <w:sz w:val="22"/>
                <w:lang w:eastAsia="es-CO"/>
              </w:rPr>
              <w:t>Sanesul</w:t>
            </w:r>
          </w:p>
        </w:tc>
        <w:tc>
          <w:tcPr>
            <w:tcW w:w="1245" w:type="dxa"/>
            <w:hideMark/>
          </w:tcPr>
          <w:p w14:paraId="0E80EB7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18,87%</w:t>
            </w:r>
          </w:p>
        </w:tc>
        <w:tc>
          <w:tcPr>
            <w:tcW w:w="1246" w:type="dxa"/>
            <w:hideMark/>
          </w:tcPr>
          <w:p w14:paraId="02D6AFEB"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19,71%</w:t>
            </w:r>
          </w:p>
        </w:tc>
        <w:tc>
          <w:tcPr>
            <w:tcW w:w="1246" w:type="dxa"/>
            <w:hideMark/>
          </w:tcPr>
          <w:p w14:paraId="012782DF"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33,57%</w:t>
            </w:r>
          </w:p>
        </w:tc>
        <w:tc>
          <w:tcPr>
            <w:tcW w:w="1177" w:type="dxa"/>
            <w:hideMark/>
          </w:tcPr>
          <w:p w14:paraId="63D456D7"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30,29%</w:t>
            </w:r>
          </w:p>
        </w:tc>
        <w:tc>
          <w:tcPr>
            <w:tcW w:w="1092" w:type="dxa"/>
            <w:hideMark/>
          </w:tcPr>
          <w:p w14:paraId="64145EEC"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22,95%</w:t>
            </w:r>
          </w:p>
        </w:tc>
        <w:tc>
          <w:tcPr>
            <w:tcW w:w="1005" w:type="dxa"/>
            <w:hideMark/>
          </w:tcPr>
          <w:p w14:paraId="7C8A753F" w14:textId="77777777" w:rsidR="004947F7" w:rsidRPr="004947F7" w:rsidRDefault="004947F7" w:rsidP="004947F7">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4947F7">
              <w:rPr>
                <w:color w:val="000000"/>
                <w:sz w:val="22"/>
                <w:lang w:eastAsia="es-CO"/>
              </w:rPr>
              <w:t>17,71%</w:t>
            </w:r>
          </w:p>
        </w:tc>
      </w:tr>
    </w:tbl>
    <w:p w14:paraId="6641CF3D" w14:textId="4136D763" w:rsidR="00F4306B" w:rsidRPr="00042F25" w:rsidRDefault="00F3739F" w:rsidP="001571A1">
      <w:pPr>
        <w:pStyle w:val="Descripcin"/>
        <w:spacing w:before="0" w:beforeAutospacing="0"/>
        <w:jc w:val="left"/>
      </w:pPr>
      <w:r w:rsidRPr="00042F25">
        <w:rPr>
          <w:sz w:val="20"/>
        </w:rPr>
        <w:t>Fonte: SNIS 2015. Elaborado por: GO Associados</w:t>
      </w:r>
    </w:p>
    <w:p w14:paraId="05B83D37" w14:textId="285DA597" w:rsidR="00F4306B" w:rsidRPr="00042F25" w:rsidRDefault="00F4306B" w:rsidP="00C71C89">
      <w:pPr>
        <w:pStyle w:val="Ttulo2"/>
        <w:ind w:left="1427"/>
      </w:pPr>
      <w:bookmarkStart w:id="47" w:name="_Toc493094934"/>
      <w:r w:rsidRPr="00042F25">
        <w:t>Índice de evasão de receitas</w:t>
      </w:r>
      <w:bookmarkEnd w:id="47"/>
    </w:p>
    <w:p w14:paraId="08112998" w14:textId="2BB064EF" w:rsidR="00F4306B" w:rsidRPr="00042F25" w:rsidRDefault="00F4306B" w:rsidP="00F4306B">
      <w:r w:rsidRPr="00042F25">
        <w:t xml:space="preserve">O índice de </w:t>
      </w:r>
      <w:r w:rsidR="00DE0FB7" w:rsidRPr="00042F25">
        <w:t>evasão de receitas</w:t>
      </w:r>
      <w:r w:rsidRPr="00042F25">
        <w:t xml:space="preserve"> (IN0</w:t>
      </w:r>
      <w:r w:rsidR="00DE0FB7" w:rsidRPr="00042F25">
        <w:t>29</w:t>
      </w:r>
      <w:r w:rsidRPr="00042F25">
        <w:t>)</w:t>
      </w:r>
      <w:r w:rsidR="00BF6582" w:rsidRPr="00042F25">
        <w:t>, expresso em</w:t>
      </w:r>
      <w:r w:rsidR="00DE0FB7" w:rsidRPr="00042F25">
        <w:t xml:space="preserve"> %,</w:t>
      </w:r>
      <w:r w:rsidRPr="00042F25">
        <w:t xml:space="preserve"> usa a </w:t>
      </w:r>
      <w:r w:rsidR="00DE0FB7" w:rsidRPr="00042F25">
        <w:t>receita operacional total (direta + indireta)</w:t>
      </w:r>
      <w:r w:rsidRPr="00042F25">
        <w:t xml:space="preserve"> (</w:t>
      </w:r>
      <w:r w:rsidR="00DE0FB7" w:rsidRPr="00042F25">
        <w:t>FN005</w:t>
      </w:r>
      <w:r w:rsidRPr="00042F25">
        <w:t xml:space="preserve">) e a </w:t>
      </w:r>
      <w:r w:rsidR="00DE0FB7" w:rsidRPr="00042F25">
        <w:t>arrecadação total (FN00</w:t>
      </w:r>
      <w:r w:rsidRPr="00042F25">
        <w:t xml:space="preserve">6) para o seu cálculo: </w:t>
      </w:r>
    </w:p>
    <w:p w14:paraId="1575720E" w14:textId="438CAA0C" w:rsidR="00F4306B" w:rsidRPr="00042F25" w:rsidRDefault="00F4306B" w:rsidP="00114CDA">
      <w:pPr>
        <w:jc w:val="center"/>
      </w:pPr>
      <m:oMathPara>
        <m:oMath>
          <m:r>
            <w:rPr>
              <w:rFonts w:ascii="Cambria Math" w:hAnsi="Cambria Math"/>
            </w:rPr>
            <m:t xml:space="preserve">IN029= </m:t>
          </m:r>
          <m:f>
            <m:fPr>
              <m:ctrlPr>
                <w:rPr>
                  <w:rFonts w:ascii="Cambria Math" w:hAnsi="Cambria Math"/>
                  <w:i/>
                </w:rPr>
              </m:ctrlPr>
            </m:fPr>
            <m:num>
              <m:r>
                <w:rPr>
                  <w:rFonts w:ascii="Cambria Math" w:hAnsi="Cambria Math"/>
                </w:rPr>
                <m:t>FN005-FN006</m:t>
              </m:r>
            </m:num>
            <m:den>
              <m:r>
                <w:rPr>
                  <w:rFonts w:ascii="Cambria Math" w:hAnsi="Cambria Math"/>
                </w:rPr>
                <m:t>FN005</m:t>
              </m:r>
            </m:den>
          </m:f>
          <m:r>
            <w:rPr>
              <w:rFonts w:ascii="Cambria Math" w:hAnsi="Cambria Math"/>
            </w:rPr>
            <m:t>*100</m:t>
          </m:r>
        </m:oMath>
      </m:oMathPara>
    </w:p>
    <w:p w14:paraId="55A541A6" w14:textId="1C30940E" w:rsidR="00F4306B" w:rsidRPr="00042F25" w:rsidRDefault="0043566E" w:rsidP="00F4306B">
      <w:r w:rsidRPr="00042F25">
        <w:t>Este índice indica a receita não arrecadada em relação à receita to</w:t>
      </w:r>
      <w:r w:rsidR="002337F9" w:rsidRPr="00042F25">
        <w:t xml:space="preserve">tal que deveria ser </w:t>
      </w:r>
      <w:r w:rsidR="007A1865" w:rsidRPr="00EA348F">
        <w:t>recolhida</w:t>
      </w:r>
      <w:r w:rsidR="007A1865">
        <w:t xml:space="preserve"> </w:t>
      </w:r>
      <w:r w:rsidR="002337F9" w:rsidRPr="00042F25">
        <w:t>n</w:t>
      </w:r>
      <w:r w:rsidRPr="00042F25">
        <w:t xml:space="preserve">a empresa. </w:t>
      </w:r>
      <w:r w:rsidR="00F4306B" w:rsidRPr="00042F25">
        <w:t xml:space="preserve">A evolução deste índice de 2010 a 2015 nas Companhias </w:t>
      </w:r>
      <w:r w:rsidR="00F4306B" w:rsidRPr="00042F25">
        <w:lastRenderedPageBreak/>
        <w:t>E</w:t>
      </w:r>
      <w:r w:rsidR="00CA1286" w:rsidRPr="00042F25">
        <w:t>staduais de Saneamento Básico mostra C</w:t>
      </w:r>
      <w:r w:rsidR="007B7960">
        <w:t>AESA</w:t>
      </w:r>
      <w:r w:rsidR="00CA1286" w:rsidRPr="00042F25">
        <w:t xml:space="preserve"> com índic</w:t>
      </w:r>
      <w:r w:rsidR="002337F9" w:rsidRPr="00042F25">
        <w:t>es acima de 40%</w:t>
      </w:r>
      <w:r w:rsidR="007B7960">
        <w:t xml:space="preserve"> e uma </w:t>
      </w:r>
      <w:r w:rsidR="00FE6784">
        <w:t>média</w:t>
      </w:r>
      <w:r w:rsidR="007B7960">
        <w:t xml:space="preserve"> para amostra em 2015 de 12,16%.</w:t>
      </w:r>
    </w:p>
    <w:p w14:paraId="5FADAB45" w14:textId="56CB5F94" w:rsidR="00735641" w:rsidRDefault="00735641" w:rsidP="00735641">
      <w:pPr>
        <w:pStyle w:val="Descripcin"/>
      </w:pPr>
      <w:bookmarkStart w:id="48" w:name="_Toc493222489"/>
      <w:r w:rsidRPr="00042F25">
        <w:t xml:space="preserve">Quadro </w:t>
      </w:r>
      <w:fldSimple w:instr=" SEQ Quadro \* ARABIC ">
        <w:r w:rsidR="00B64D1C" w:rsidRPr="00042F25">
          <w:rPr>
            <w:noProof/>
          </w:rPr>
          <w:t>26</w:t>
        </w:r>
      </w:fldSimple>
      <w:r w:rsidRPr="00042F25">
        <w:t xml:space="preserve"> – </w:t>
      </w:r>
      <w:r w:rsidR="00EB4F62" w:rsidRPr="00042F25">
        <w:t>Í</w:t>
      </w:r>
      <w:r w:rsidRPr="00042F25">
        <w:t>ndic</w:t>
      </w:r>
      <w:r w:rsidR="00EB4F62" w:rsidRPr="00042F25">
        <w:t>e de Evasão de Receitas</w:t>
      </w:r>
      <w:r w:rsidRPr="00042F25">
        <w:t xml:space="preserve"> (IN02</w:t>
      </w:r>
      <w:r w:rsidR="00EB4F62" w:rsidRPr="00042F25">
        <w:t>9</w:t>
      </w:r>
      <w:r w:rsidRPr="00042F25">
        <w:t>)</w:t>
      </w:r>
      <w:bookmarkEnd w:id="48"/>
    </w:p>
    <w:tbl>
      <w:tblPr>
        <w:tblStyle w:val="Tabladecuadrcula4-nfasis11"/>
        <w:tblW w:w="8494" w:type="dxa"/>
        <w:jc w:val="center"/>
        <w:tblLook w:val="04A0" w:firstRow="1" w:lastRow="0" w:firstColumn="1" w:lastColumn="0" w:noHBand="0" w:noVBand="1"/>
      </w:tblPr>
      <w:tblGrid>
        <w:gridCol w:w="1487"/>
        <w:gridCol w:w="1248"/>
        <w:gridCol w:w="1249"/>
        <w:gridCol w:w="1249"/>
        <w:gridCol w:w="1178"/>
        <w:gridCol w:w="1093"/>
        <w:gridCol w:w="990"/>
      </w:tblGrid>
      <w:tr w:rsidR="00F02E61" w:rsidRPr="00F02E61" w14:paraId="1860FBC9" w14:textId="77777777" w:rsidTr="00EA348F">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512D821" w14:textId="77777777" w:rsidR="00F02E61" w:rsidRPr="00F02E61" w:rsidRDefault="00F02E61" w:rsidP="00F02E61">
            <w:pPr>
              <w:spacing w:before="0" w:beforeAutospacing="0" w:after="0" w:afterAutospacing="0" w:line="240" w:lineRule="auto"/>
              <w:ind w:firstLine="0"/>
              <w:jc w:val="left"/>
              <w:rPr>
                <w:b w:val="0"/>
                <w:bCs w:val="0"/>
                <w:color w:val="FFFFFF"/>
                <w:sz w:val="22"/>
                <w:lang w:val="es-CO" w:eastAsia="es-CO"/>
              </w:rPr>
            </w:pPr>
            <w:r w:rsidRPr="00F02E61">
              <w:rPr>
                <w:b w:val="0"/>
                <w:bCs w:val="0"/>
                <w:color w:val="FFFFFF"/>
                <w:sz w:val="22"/>
                <w:lang w:eastAsia="es-CO"/>
              </w:rPr>
              <w:t>Empresa</w:t>
            </w:r>
          </w:p>
        </w:tc>
        <w:tc>
          <w:tcPr>
            <w:tcW w:w="1248" w:type="dxa"/>
            <w:hideMark/>
          </w:tcPr>
          <w:p w14:paraId="2EFA3465"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2010</w:t>
            </w:r>
          </w:p>
        </w:tc>
        <w:tc>
          <w:tcPr>
            <w:tcW w:w="1249" w:type="dxa"/>
            <w:hideMark/>
          </w:tcPr>
          <w:p w14:paraId="4FB8C854"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2011</w:t>
            </w:r>
          </w:p>
        </w:tc>
        <w:tc>
          <w:tcPr>
            <w:tcW w:w="1249" w:type="dxa"/>
            <w:hideMark/>
          </w:tcPr>
          <w:p w14:paraId="7EEA1CD9"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2012</w:t>
            </w:r>
          </w:p>
        </w:tc>
        <w:tc>
          <w:tcPr>
            <w:tcW w:w="1178" w:type="dxa"/>
            <w:hideMark/>
          </w:tcPr>
          <w:p w14:paraId="7661A4F8"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2013</w:t>
            </w:r>
          </w:p>
        </w:tc>
        <w:tc>
          <w:tcPr>
            <w:tcW w:w="1093" w:type="dxa"/>
            <w:hideMark/>
          </w:tcPr>
          <w:p w14:paraId="1B02ACEA"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2014</w:t>
            </w:r>
          </w:p>
        </w:tc>
        <w:tc>
          <w:tcPr>
            <w:tcW w:w="990" w:type="dxa"/>
            <w:hideMark/>
          </w:tcPr>
          <w:p w14:paraId="50B0595C"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2015</w:t>
            </w:r>
          </w:p>
        </w:tc>
      </w:tr>
      <w:tr w:rsidR="00F02E61" w:rsidRPr="00F02E61" w14:paraId="00713F7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BA80DEF"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Agespisa</w:t>
            </w:r>
          </w:p>
        </w:tc>
        <w:tc>
          <w:tcPr>
            <w:tcW w:w="1248" w:type="dxa"/>
            <w:hideMark/>
          </w:tcPr>
          <w:p w14:paraId="592B615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9,73%</w:t>
            </w:r>
          </w:p>
        </w:tc>
        <w:tc>
          <w:tcPr>
            <w:tcW w:w="1249" w:type="dxa"/>
            <w:hideMark/>
          </w:tcPr>
          <w:p w14:paraId="7042267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4,21%</w:t>
            </w:r>
          </w:p>
        </w:tc>
        <w:tc>
          <w:tcPr>
            <w:tcW w:w="1249" w:type="dxa"/>
            <w:hideMark/>
          </w:tcPr>
          <w:p w14:paraId="34C97CB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9,90%</w:t>
            </w:r>
          </w:p>
        </w:tc>
        <w:tc>
          <w:tcPr>
            <w:tcW w:w="1178" w:type="dxa"/>
            <w:hideMark/>
          </w:tcPr>
          <w:p w14:paraId="30C347C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3,70%</w:t>
            </w:r>
          </w:p>
        </w:tc>
        <w:tc>
          <w:tcPr>
            <w:tcW w:w="1093" w:type="dxa"/>
            <w:hideMark/>
          </w:tcPr>
          <w:p w14:paraId="4EA5BDC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-2,71%</w:t>
            </w:r>
          </w:p>
        </w:tc>
        <w:tc>
          <w:tcPr>
            <w:tcW w:w="990" w:type="dxa"/>
            <w:hideMark/>
          </w:tcPr>
          <w:p w14:paraId="476ECB1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2,16%</w:t>
            </w:r>
          </w:p>
        </w:tc>
      </w:tr>
      <w:tr w:rsidR="00F02E61" w:rsidRPr="00F02E61" w14:paraId="1579FBF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39C8E7A"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Caema</w:t>
            </w:r>
          </w:p>
        </w:tc>
        <w:tc>
          <w:tcPr>
            <w:tcW w:w="1248" w:type="dxa"/>
            <w:hideMark/>
          </w:tcPr>
          <w:p w14:paraId="7812946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20,81%</w:t>
            </w:r>
          </w:p>
        </w:tc>
        <w:tc>
          <w:tcPr>
            <w:tcW w:w="1249" w:type="dxa"/>
            <w:hideMark/>
          </w:tcPr>
          <w:p w14:paraId="7BD4B7C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19,94%</w:t>
            </w:r>
          </w:p>
        </w:tc>
        <w:tc>
          <w:tcPr>
            <w:tcW w:w="1249" w:type="dxa"/>
            <w:hideMark/>
          </w:tcPr>
          <w:p w14:paraId="2A9A587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30,69%</w:t>
            </w:r>
          </w:p>
        </w:tc>
        <w:tc>
          <w:tcPr>
            <w:tcW w:w="1178" w:type="dxa"/>
            <w:hideMark/>
          </w:tcPr>
          <w:p w14:paraId="7E4139C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30,54%</w:t>
            </w:r>
          </w:p>
        </w:tc>
        <w:tc>
          <w:tcPr>
            <w:tcW w:w="1093" w:type="dxa"/>
            <w:hideMark/>
          </w:tcPr>
          <w:p w14:paraId="275271F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27,70%</w:t>
            </w:r>
          </w:p>
        </w:tc>
        <w:tc>
          <w:tcPr>
            <w:tcW w:w="990" w:type="dxa"/>
            <w:hideMark/>
          </w:tcPr>
          <w:p w14:paraId="20EBE9E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30,90%</w:t>
            </w:r>
          </w:p>
        </w:tc>
      </w:tr>
      <w:tr w:rsidR="00F02E61" w:rsidRPr="00F02E61" w14:paraId="1DF1A23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3C42EE4"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w:t>
            </w:r>
          </w:p>
        </w:tc>
        <w:tc>
          <w:tcPr>
            <w:tcW w:w="1248" w:type="dxa"/>
            <w:hideMark/>
          </w:tcPr>
          <w:p w14:paraId="1847937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19,86%</w:t>
            </w:r>
          </w:p>
        </w:tc>
        <w:tc>
          <w:tcPr>
            <w:tcW w:w="1249" w:type="dxa"/>
            <w:hideMark/>
          </w:tcPr>
          <w:p w14:paraId="0CF1A76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13,20%</w:t>
            </w:r>
          </w:p>
        </w:tc>
        <w:tc>
          <w:tcPr>
            <w:tcW w:w="1249" w:type="dxa"/>
            <w:hideMark/>
          </w:tcPr>
          <w:p w14:paraId="2DB1075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20,27%</w:t>
            </w:r>
          </w:p>
        </w:tc>
        <w:tc>
          <w:tcPr>
            <w:tcW w:w="1178" w:type="dxa"/>
            <w:hideMark/>
          </w:tcPr>
          <w:p w14:paraId="7B729EE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10,10%</w:t>
            </w:r>
          </w:p>
        </w:tc>
        <w:tc>
          <w:tcPr>
            <w:tcW w:w="1093" w:type="dxa"/>
            <w:hideMark/>
          </w:tcPr>
          <w:p w14:paraId="7746835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14,62%</w:t>
            </w:r>
          </w:p>
        </w:tc>
        <w:tc>
          <w:tcPr>
            <w:tcW w:w="990" w:type="dxa"/>
            <w:hideMark/>
          </w:tcPr>
          <w:p w14:paraId="6728A93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16,79%</w:t>
            </w:r>
          </w:p>
        </w:tc>
      </w:tr>
      <w:tr w:rsidR="00F02E61" w:rsidRPr="00F02E61" w14:paraId="1D3A5F0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9E9DB8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Caerd</w:t>
            </w:r>
          </w:p>
        </w:tc>
        <w:tc>
          <w:tcPr>
            <w:tcW w:w="1248" w:type="dxa"/>
            <w:hideMark/>
          </w:tcPr>
          <w:p w14:paraId="7B97639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11,56%</w:t>
            </w:r>
          </w:p>
        </w:tc>
        <w:tc>
          <w:tcPr>
            <w:tcW w:w="1249" w:type="dxa"/>
            <w:hideMark/>
          </w:tcPr>
          <w:p w14:paraId="79D495B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8,27%</w:t>
            </w:r>
          </w:p>
        </w:tc>
        <w:tc>
          <w:tcPr>
            <w:tcW w:w="1249" w:type="dxa"/>
            <w:hideMark/>
          </w:tcPr>
          <w:p w14:paraId="6B812D2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6,84%</w:t>
            </w:r>
          </w:p>
        </w:tc>
        <w:tc>
          <w:tcPr>
            <w:tcW w:w="1178" w:type="dxa"/>
            <w:hideMark/>
          </w:tcPr>
          <w:p w14:paraId="55AD311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19,02%</w:t>
            </w:r>
          </w:p>
        </w:tc>
        <w:tc>
          <w:tcPr>
            <w:tcW w:w="1093" w:type="dxa"/>
            <w:hideMark/>
          </w:tcPr>
          <w:p w14:paraId="7042158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18,04%</w:t>
            </w:r>
          </w:p>
        </w:tc>
        <w:tc>
          <w:tcPr>
            <w:tcW w:w="990" w:type="dxa"/>
            <w:hideMark/>
          </w:tcPr>
          <w:p w14:paraId="3241B14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10,72%</w:t>
            </w:r>
          </w:p>
        </w:tc>
      </w:tr>
      <w:tr w:rsidR="00F02E61" w:rsidRPr="00F02E61" w14:paraId="55822ED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35CB43C"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Caern</w:t>
            </w:r>
          </w:p>
        </w:tc>
        <w:tc>
          <w:tcPr>
            <w:tcW w:w="1248" w:type="dxa"/>
            <w:hideMark/>
          </w:tcPr>
          <w:p w14:paraId="767B451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10,11%</w:t>
            </w:r>
          </w:p>
        </w:tc>
        <w:tc>
          <w:tcPr>
            <w:tcW w:w="1249" w:type="dxa"/>
            <w:hideMark/>
          </w:tcPr>
          <w:p w14:paraId="7215DD9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5,54%</w:t>
            </w:r>
          </w:p>
        </w:tc>
        <w:tc>
          <w:tcPr>
            <w:tcW w:w="1249" w:type="dxa"/>
            <w:hideMark/>
          </w:tcPr>
          <w:p w14:paraId="4BE2D51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8,41%</w:t>
            </w:r>
          </w:p>
        </w:tc>
        <w:tc>
          <w:tcPr>
            <w:tcW w:w="1178" w:type="dxa"/>
            <w:hideMark/>
          </w:tcPr>
          <w:p w14:paraId="5815376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5,10%</w:t>
            </w:r>
          </w:p>
        </w:tc>
        <w:tc>
          <w:tcPr>
            <w:tcW w:w="1093" w:type="dxa"/>
            <w:hideMark/>
          </w:tcPr>
          <w:p w14:paraId="40FB742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8,66%</w:t>
            </w:r>
          </w:p>
        </w:tc>
        <w:tc>
          <w:tcPr>
            <w:tcW w:w="990" w:type="dxa"/>
            <w:hideMark/>
          </w:tcPr>
          <w:p w14:paraId="09A3370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10,49%</w:t>
            </w:r>
          </w:p>
        </w:tc>
      </w:tr>
      <w:tr w:rsidR="00F02E61" w:rsidRPr="00F02E61" w14:paraId="12EB0A8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E4B5274"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Caesa</w:t>
            </w:r>
          </w:p>
        </w:tc>
        <w:tc>
          <w:tcPr>
            <w:tcW w:w="1248" w:type="dxa"/>
            <w:hideMark/>
          </w:tcPr>
          <w:p w14:paraId="2AA72B5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40,55%</w:t>
            </w:r>
          </w:p>
        </w:tc>
        <w:tc>
          <w:tcPr>
            <w:tcW w:w="1249" w:type="dxa"/>
            <w:hideMark/>
          </w:tcPr>
          <w:p w14:paraId="6A379F7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44,06%</w:t>
            </w:r>
          </w:p>
        </w:tc>
        <w:tc>
          <w:tcPr>
            <w:tcW w:w="1249" w:type="dxa"/>
            <w:hideMark/>
          </w:tcPr>
          <w:p w14:paraId="72EDB52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39,88%</w:t>
            </w:r>
          </w:p>
        </w:tc>
        <w:tc>
          <w:tcPr>
            <w:tcW w:w="1178" w:type="dxa"/>
            <w:hideMark/>
          </w:tcPr>
          <w:p w14:paraId="244A9A7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47,57%</w:t>
            </w:r>
          </w:p>
        </w:tc>
        <w:tc>
          <w:tcPr>
            <w:tcW w:w="1093" w:type="dxa"/>
            <w:hideMark/>
          </w:tcPr>
          <w:p w14:paraId="5D149B3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47,70%</w:t>
            </w:r>
          </w:p>
        </w:tc>
        <w:tc>
          <w:tcPr>
            <w:tcW w:w="990" w:type="dxa"/>
            <w:hideMark/>
          </w:tcPr>
          <w:p w14:paraId="7A93CB4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46,39%</w:t>
            </w:r>
          </w:p>
        </w:tc>
      </w:tr>
      <w:tr w:rsidR="00F02E61" w:rsidRPr="00F02E61" w14:paraId="791DBF6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E000136"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Caesb</w:t>
            </w:r>
          </w:p>
        </w:tc>
        <w:tc>
          <w:tcPr>
            <w:tcW w:w="1248" w:type="dxa"/>
            <w:hideMark/>
          </w:tcPr>
          <w:p w14:paraId="413B4D7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3,02%</w:t>
            </w:r>
          </w:p>
        </w:tc>
        <w:tc>
          <w:tcPr>
            <w:tcW w:w="1249" w:type="dxa"/>
            <w:hideMark/>
          </w:tcPr>
          <w:p w14:paraId="1B1851D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4,26%</w:t>
            </w:r>
          </w:p>
        </w:tc>
        <w:tc>
          <w:tcPr>
            <w:tcW w:w="1249" w:type="dxa"/>
            <w:hideMark/>
          </w:tcPr>
          <w:p w14:paraId="0F09272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4,67%</w:t>
            </w:r>
          </w:p>
        </w:tc>
        <w:tc>
          <w:tcPr>
            <w:tcW w:w="1178" w:type="dxa"/>
            <w:hideMark/>
          </w:tcPr>
          <w:p w14:paraId="6D30193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5,94%</w:t>
            </w:r>
          </w:p>
        </w:tc>
        <w:tc>
          <w:tcPr>
            <w:tcW w:w="1093" w:type="dxa"/>
            <w:hideMark/>
          </w:tcPr>
          <w:p w14:paraId="69457F6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9,69%</w:t>
            </w:r>
          </w:p>
        </w:tc>
        <w:tc>
          <w:tcPr>
            <w:tcW w:w="990" w:type="dxa"/>
            <w:hideMark/>
          </w:tcPr>
          <w:p w14:paraId="2A361DB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7,20%</w:t>
            </w:r>
          </w:p>
        </w:tc>
      </w:tr>
      <w:tr w:rsidR="00F02E61" w:rsidRPr="00F02E61" w14:paraId="390986D4"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544C3CA"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Cagece</w:t>
            </w:r>
          </w:p>
        </w:tc>
        <w:tc>
          <w:tcPr>
            <w:tcW w:w="1248" w:type="dxa"/>
            <w:hideMark/>
          </w:tcPr>
          <w:p w14:paraId="3A17C91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0,82%</w:t>
            </w:r>
          </w:p>
        </w:tc>
        <w:tc>
          <w:tcPr>
            <w:tcW w:w="1249" w:type="dxa"/>
            <w:hideMark/>
          </w:tcPr>
          <w:p w14:paraId="3D8B483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-0,51%</w:t>
            </w:r>
          </w:p>
        </w:tc>
        <w:tc>
          <w:tcPr>
            <w:tcW w:w="1249" w:type="dxa"/>
            <w:hideMark/>
          </w:tcPr>
          <w:p w14:paraId="235EF27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2,46%</w:t>
            </w:r>
          </w:p>
        </w:tc>
        <w:tc>
          <w:tcPr>
            <w:tcW w:w="1178" w:type="dxa"/>
            <w:hideMark/>
          </w:tcPr>
          <w:p w14:paraId="0C87F8A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2,11%</w:t>
            </w:r>
          </w:p>
        </w:tc>
        <w:tc>
          <w:tcPr>
            <w:tcW w:w="1093" w:type="dxa"/>
            <w:hideMark/>
          </w:tcPr>
          <w:p w14:paraId="575ACE1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0,59%</w:t>
            </w:r>
          </w:p>
        </w:tc>
        <w:tc>
          <w:tcPr>
            <w:tcW w:w="990" w:type="dxa"/>
            <w:hideMark/>
          </w:tcPr>
          <w:p w14:paraId="51A16E1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5,95%</w:t>
            </w:r>
          </w:p>
        </w:tc>
      </w:tr>
      <w:tr w:rsidR="00F02E61" w:rsidRPr="00F02E61" w14:paraId="5A7FD4A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D865360"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Cagepa</w:t>
            </w:r>
          </w:p>
        </w:tc>
        <w:tc>
          <w:tcPr>
            <w:tcW w:w="1248" w:type="dxa"/>
            <w:hideMark/>
          </w:tcPr>
          <w:p w14:paraId="653953F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7,65%</w:t>
            </w:r>
          </w:p>
        </w:tc>
        <w:tc>
          <w:tcPr>
            <w:tcW w:w="1249" w:type="dxa"/>
            <w:hideMark/>
          </w:tcPr>
          <w:p w14:paraId="6357904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11,43%</w:t>
            </w:r>
          </w:p>
        </w:tc>
        <w:tc>
          <w:tcPr>
            <w:tcW w:w="1249" w:type="dxa"/>
            <w:hideMark/>
          </w:tcPr>
          <w:p w14:paraId="3148158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28,26%</w:t>
            </w:r>
          </w:p>
        </w:tc>
        <w:tc>
          <w:tcPr>
            <w:tcW w:w="1178" w:type="dxa"/>
            <w:hideMark/>
          </w:tcPr>
          <w:p w14:paraId="356E5B9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9,91%</w:t>
            </w:r>
          </w:p>
        </w:tc>
        <w:tc>
          <w:tcPr>
            <w:tcW w:w="1093" w:type="dxa"/>
            <w:hideMark/>
          </w:tcPr>
          <w:p w14:paraId="65BCAC9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13,17%</w:t>
            </w:r>
          </w:p>
        </w:tc>
        <w:tc>
          <w:tcPr>
            <w:tcW w:w="990" w:type="dxa"/>
            <w:hideMark/>
          </w:tcPr>
          <w:p w14:paraId="1236C71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16,03%</w:t>
            </w:r>
          </w:p>
        </w:tc>
      </w:tr>
      <w:tr w:rsidR="00F02E61" w:rsidRPr="00F02E61" w14:paraId="313A029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50EFA90"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Casal</w:t>
            </w:r>
          </w:p>
        </w:tc>
        <w:tc>
          <w:tcPr>
            <w:tcW w:w="1248" w:type="dxa"/>
            <w:hideMark/>
          </w:tcPr>
          <w:p w14:paraId="5AAF60F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21,82%</w:t>
            </w:r>
          </w:p>
        </w:tc>
        <w:tc>
          <w:tcPr>
            <w:tcW w:w="1249" w:type="dxa"/>
            <w:hideMark/>
          </w:tcPr>
          <w:p w14:paraId="1527F14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13,44%</w:t>
            </w:r>
          </w:p>
        </w:tc>
        <w:tc>
          <w:tcPr>
            <w:tcW w:w="1249" w:type="dxa"/>
            <w:hideMark/>
          </w:tcPr>
          <w:p w14:paraId="385FC27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0,41%</w:t>
            </w:r>
          </w:p>
        </w:tc>
        <w:tc>
          <w:tcPr>
            <w:tcW w:w="1178" w:type="dxa"/>
            <w:hideMark/>
          </w:tcPr>
          <w:p w14:paraId="4CB4971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22,60%</w:t>
            </w:r>
          </w:p>
        </w:tc>
        <w:tc>
          <w:tcPr>
            <w:tcW w:w="1093" w:type="dxa"/>
            <w:hideMark/>
          </w:tcPr>
          <w:p w14:paraId="47142B5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2,35%</w:t>
            </w:r>
          </w:p>
        </w:tc>
        <w:tc>
          <w:tcPr>
            <w:tcW w:w="990" w:type="dxa"/>
            <w:hideMark/>
          </w:tcPr>
          <w:p w14:paraId="6BD04D7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3,50%</w:t>
            </w:r>
          </w:p>
        </w:tc>
      </w:tr>
      <w:tr w:rsidR="00F02E61" w:rsidRPr="00F02E61" w14:paraId="731146B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1983161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Casan</w:t>
            </w:r>
          </w:p>
        </w:tc>
        <w:tc>
          <w:tcPr>
            <w:tcW w:w="1248" w:type="dxa"/>
            <w:hideMark/>
          </w:tcPr>
          <w:p w14:paraId="54F2DD5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2,86%</w:t>
            </w:r>
          </w:p>
        </w:tc>
        <w:tc>
          <w:tcPr>
            <w:tcW w:w="1249" w:type="dxa"/>
            <w:hideMark/>
          </w:tcPr>
          <w:p w14:paraId="04218DC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3,80%</w:t>
            </w:r>
          </w:p>
        </w:tc>
        <w:tc>
          <w:tcPr>
            <w:tcW w:w="1249" w:type="dxa"/>
            <w:hideMark/>
          </w:tcPr>
          <w:p w14:paraId="1647B50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4,56%</w:t>
            </w:r>
          </w:p>
        </w:tc>
        <w:tc>
          <w:tcPr>
            <w:tcW w:w="1178" w:type="dxa"/>
            <w:hideMark/>
          </w:tcPr>
          <w:p w14:paraId="57F787F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3,12%</w:t>
            </w:r>
          </w:p>
        </w:tc>
        <w:tc>
          <w:tcPr>
            <w:tcW w:w="1093" w:type="dxa"/>
            <w:hideMark/>
          </w:tcPr>
          <w:p w14:paraId="4E279C5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3,67%</w:t>
            </w:r>
          </w:p>
        </w:tc>
        <w:tc>
          <w:tcPr>
            <w:tcW w:w="990" w:type="dxa"/>
            <w:hideMark/>
          </w:tcPr>
          <w:p w14:paraId="60A69E3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3,35%</w:t>
            </w:r>
          </w:p>
        </w:tc>
      </w:tr>
      <w:tr w:rsidR="00F02E61" w:rsidRPr="00F02E61" w14:paraId="49F2B08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8D2383C"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Cedae</w:t>
            </w:r>
          </w:p>
        </w:tc>
        <w:tc>
          <w:tcPr>
            <w:tcW w:w="1248" w:type="dxa"/>
            <w:hideMark/>
          </w:tcPr>
          <w:p w14:paraId="33C455B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22,16%</w:t>
            </w:r>
          </w:p>
        </w:tc>
        <w:tc>
          <w:tcPr>
            <w:tcW w:w="1249" w:type="dxa"/>
            <w:hideMark/>
          </w:tcPr>
          <w:p w14:paraId="0E18904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17,24%</w:t>
            </w:r>
          </w:p>
        </w:tc>
        <w:tc>
          <w:tcPr>
            <w:tcW w:w="1249" w:type="dxa"/>
            <w:hideMark/>
          </w:tcPr>
          <w:p w14:paraId="5F634B2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17,55%</w:t>
            </w:r>
          </w:p>
        </w:tc>
        <w:tc>
          <w:tcPr>
            <w:tcW w:w="1178" w:type="dxa"/>
            <w:hideMark/>
          </w:tcPr>
          <w:p w14:paraId="7F4812A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15,78%</w:t>
            </w:r>
          </w:p>
        </w:tc>
        <w:tc>
          <w:tcPr>
            <w:tcW w:w="1093" w:type="dxa"/>
            <w:hideMark/>
          </w:tcPr>
          <w:p w14:paraId="0B01776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25,40%</w:t>
            </w:r>
          </w:p>
        </w:tc>
        <w:tc>
          <w:tcPr>
            <w:tcW w:w="990" w:type="dxa"/>
            <w:hideMark/>
          </w:tcPr>
          <w:p w14:paraId="524F5EB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23,91%</w:t>
            </w:r>
          </w:p>
        </w:tc>
      </w:tr>
      <w:tr w:rsidR="00F02E61" w:rsidRPr="00F02E61" w14:paraId="09980A9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E6B47DD"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Cesan</w:t>
            </w:r>
          </w:p>
        </w:tc>
        <w:tc>
          <w:tcPr>
            <w:tcW w:w="1248" w:type="dxa"/>
            <w:hideMark/>
          </w:tcPr>
          <w:p w14:paraId="74B0F02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6,06%</w:t>
            </w:r>
          </w:p>
        </w:tc>
        <w:tc>
          <w:tcPr>
            <w:tcW w:w="1249" w:type="dxa"/>
            <w:hideMark/>
          </w:tcPr>
          <w:p w14:paraId="42FA069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5,32%</w:t>
            </w:r>
          </w:p>
        </w:tc>
        <w:tc>
          <w:tcPr>
            <w:tcW w:w="1249" w:type="dxa"/>
            <w:hideMark/>
          </w:tcPr>
          <w:p w14:paraId="0CDAF95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5,34%</w:t>
            </w:r>
          </w:p>
        </w:tc>
        <w:tc>
          <w:tcPr>
            <w:tcW w:w="1178" w:type="dxa"/>
            <w:hideMark/>
          </w:tcPr>
          <w:p w14:paraId="479D34F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7,75%</w:t>
            </w:r>
          </w:p>
        </w:tc>
        <w:tc>
          <w:tcPr>
            <w:tcW w:w="1093" w:type="dxa"/>
            <w:hideMark/>
          </w:tcPr>
          <w:p w14:paraId="7505827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8,57%</w:t>
            </w:r>
          </w:p>
        </w:tc>
        <w:tc>
          <w:tcPr>
            <w:tcW w:w="990" w:type="dxa"/>
            <w:hideMark/>
          </w:tcPr>
          <w:p w14:paraId="6F6B7C9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5,37%</w:t>
            </w:r>
          </w:p>
        </w:tc>
      </w:tr>
      <w:tr w:rsidR="00F02E61" w:rsidRPr="00F02E61" w14:paraId="7B9A337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28DA48CD"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Compesa</w:t>
            </w:r>
          </w:p>
        </w:tc>
        <w:tc>
          <w:tcPr>
            <w:tcW w:w="1248" w:type="dxa"/>
            <w:hideMark/>
          </w:tcPr>
          <w:p w14:paraId="5927981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7,79%</w:t>
            </w:r>
          </w:p>
        </w:tc>
        <w:tc>
          <w:tcPr>
            <w:tcW w:w="1249" w:type="dxa"/>
            <w:hideMark/>
          </w:tcPr>
          <w:p w14:paraId="5F01BBD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8,52%</w:t>
            </w:r>
          </w:p>
        </w:tc>
        <w:tc>
          <w:tcPr>
            <w:tcW w:w="1249" w:type="dxa"/>
            <w:hideMark/>
          </w:tcPr>
          <w:p w14:paraId="608FDDA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9,29%</w:t>
            </w:r>
          </w:p>
        </w:tc>
        <w:tc>
          <w:tcPr>
            <w:tcW w:w="1178" w:type="dxa"/>
            <w:hideMark/>
          </w:tcPr>
          <w:p w14:paraId="0A37328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8,40%</w:t>
            </w:r>
          </w:p>
        </w:tc>
        <w:tc>
          <w:tcPr>
            <w:tcW w:w="1093" w:type="dxa"/>
            <w:hideMark/>
          </w:tcPr>
          <w:p w14:paraId="0299226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9,22%</w:t>
            </w:r>
          </w:p>
        </w:tc>
        <w:tc>
          <w:tcPr>
            <w:tcW w:w="990" w:type="dxa"/>
            <w:hideMark/>
          </w:tcPr>
          <w:p w14:paraId="47C8C0D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11,08%</w:t>
            </w:r>
          </w:p>
        </w:tc>
      </w:tr>
      <w:tr w:rsidR="00F02E61" w:rsidRPr="00F02E61" w14:paraId="4C4AF8E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5B58B1C"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Copasa</w:t>
            </w:r>
          </w:p>
        </w:tc>
        <w:tc>
          <w:tcPr>
            <w:tcW w:w="1248" w:type="dxa"/>
            <w:hideMark/>
          </w:tcPr>
          <w:p w14:paraId="00A6AF9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1,14%</w:t>
            </w:r>
          </w:p>
        </w:tc>
        <w:tc>
          <w:tcPr>
            <w:tcW w:w="1249" w:type="dxa"/>
            <w:hideMark/>
          </w:tcPr>
          <w:p w14:paraId="15AA84A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2,31%</w:t>
            </w:r>
          </w:p>
        </w:tc>
        <w:tc>
          <w:tcPr>
            <w:tcW w:w="1249" w:type="dxa"/>
            <w:hideMark/>
          </w:tcPr>
          <w:p w14:paraId="49AFC3E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5,94%</w:t>
            </w:r>
          </w:p>
        </w:tc>
        <w:tc>
          <w:tcPr>
            <w:tcW w:w="1178" w:type="dxa"/>
            <w:hideMark/>
          </w:tcPr>
          <w:p w14:paraId="76FA391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5,78%</w:t>
            </w:r>
          </w:p>
        </w:tc>
        <w:tc>
          <w:tcPr>
            <w:tcW w:w="1093" w:type="dxa"/>
            <w:hideMark/>
          </w:tcPr>
          <w:p w14:paraId="786DC95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2,10%</w:t>
            </w:r>
          </w:p>
        </w:tc>
        <w:tc>
          <w:tcPr>
            <w:tcW w:w="990" w:type="dxa"/>
            <w:hideMark/>
          </w:tcPr>
          <w:p w14:paraId="26D1738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4,91%</w:t>
            </w:r>
          </w:p>
        </w:tc>
      </w:tr>
      <w:tr w:rsidR="00F02E61" w:rsidRPr="00F02E61" w14:paraId="5663A76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733BD2D1"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Corsan</w:t>
            </w:r>
          </w:p>
        </w:tc>
        <w:tc>
          <w:tcPr>
            <w:tcW w:w="1248" w:type="dxa"/>
            <w:hideMark/>
          </w:tcPr>
          <w:p w14:paraId="5913836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-1,35%</w:t>
            </w:r>
          </w:p>
        </w:tc>
        <w:tc>
          <w:tcPr>
            <w:tcW w:w="1249" w:type="dxa"/>
            <w:hideMark/>
          </w:tcPr>
          <w:p w14:paraId="5CA4DA6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3,60%</w:t>
            </w:r>
          </w:p>
        </w:tc>
        <w:tc>
          <w:tcPr>
            <w:tcW w:w="1249" w:type="dxa"/>
            <w:hideMark/>
          </w:tcPr>
          <w:p w14:paraId="3B5BDFB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-0,21%</w:t>
            </w:r>
          </w:p>
        </w:tc>
        <w:tc>
          <w:tcPr>
            <w:tcW w:w="1178" w:type="dxa"/>
            <w:hideMark/>
          </w:tcPr>
          <w:p w14:paraId="4EA3173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0,41%</w:t>
            </w:r>
          </w:p>
        </w:tc>
        <w:tc>
          <w:tcPr>
            <w:tcW w:w="1093" w:type="dxa"/>
            <w:hideMark/>
          </w:tcPr>
          <w:p w14:paraId="61BEBD1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3,24%</w:t>
            </w:r>
          </w:p>
        </w:tc>
        <w:tc>
          <w:tcPr>
            <w:tcW w:w="990" w:type="dxa"/>
            <w:hideMark/>
          </w:tcPr>
          <w:p w14:paraId="6D6853C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3,76%</w:t>
            </w:r>
          </w:p>
        </w:tc>
      </w:tr>
      <w:tr w:rsidR="00F02E61" w:rsidRPr="00F02E61" w14:paraId="4533460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81A02A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Cosanpa</w:t>
            </w:r>
          </w:p>
        </w:tc>
        <w:tc>
          <w:tcPr>
            <w:tcW w:w="1248" w:type="dxa"/>
            <w:hideMark/>
          </w:tcPr>
          <w:p w14:paraId="28E440D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27,56%</w:t>
            </w:r>
          </w:p>
        </w:tc>
        <w:tc>
          <w:tcPr>
            <w:tcW w:w="1249" w:type="dxa"/>
            <w:hideMark/>
          </w:tcPr>
          <w:p w14:paraId="579779B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27,71%</w:t>
            </w:r>
          </w:p>
        </w:tc>
        <w:tc>
          <w:tcPr>
            <w:tcW w:w="1249" w:type="dxa"/>
            <w:hideMark/>
          </w:tcPr>
          <w:p w14:paraId="6924B7D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23,27%</w:t>
            </w:r>
          </w:p>
        </w:tc>
        <w:tc>
          <w:tcPr>
            <w:tcW w:w="1178" w:type="dxa"/>
            <w:hideMark/>
          </w:tcPr>
          <w:p w14:paraId="40ACCD6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23,17%</w:t>
            </w:r>
          </w:p>
        </w:tc>
        <w:tc>
          <w:tcPr>
            <w:tcW w:w="1093" w:type="dxa"/>
            <w:hideMark/>
          </w:tcPr>
          <w:p w14:paraId="4051BC2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25,46%</w:t>
            </w:r>
          </w:p>
        </w:tc>
        <w:tc>
          <w:tcPr>
            <w:tcW w:w="990" w:type="dxa"/>
            <w:hideMark/>
          </w:tcPr>
          <w:p w14:paraId="1AABA05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23,26%</w:t>
            </w:r>
          </w:p>
        </w:tc>
      </w:tr>
      <w:tr w:rsidR="00F02E61" w:rsidRPr="00F02E61" w14:paraId="1AFD5DA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B136B1D"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Depasa</w:t>
            </w:r>
          </w:p>
        </w:tc>
        <w:tc>
          <w:tcPr>
            <w:tcW w:w="1248" w:type="dxa"/>
            <w:hideMark/>
          </w:tcPr>
          <w:p w14:paraId="1301242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0,92%</w:t>
            </w:r>
          </w:p>
        </w:tc>
        <w:tc>
          <w:tcPr>
            <w:tcW w:w="1249" w:type="dxa"/>
            <w:hideMark/>
          </w:tcPr>
          <w:p w14:paraId="2DD5E11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23,49%</w:t>
            </w:r>
          </w:p>
        </w:tc>
        <w:tc>
          <w:tcPr>
            <w:tcW w:w="1249" w:type="dxa"/>
            <w:hideMark/>
          </w:tcPr>
          <w:p w14:paraId="0128E3C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38,75%</w:t>
            </w:r>
          </w:p>
        </w:tc>
        <w:tc>
          <w:tcPr>
            <w:tcW w:w="1178" w:type="dxa"/>
            <w:hideMark/>
          </w:tcPr>
          <w:p w14:paraId="18B8355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41,56%</w:t>
            </w:r>
          </w:p>
        </w:tc>
        <w:tc>
          <w:tcPr>
            <w:tcW w:w="1093" w:type="dxa"/>
            <w:hideMark/>
          </w:tcPr>
          <w:p w14:paraId="6DE447B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54,38%</w:t>
            </w:r>
          </w:p>
        </w:tc>
        <w:tc>
          <w:tcPr>
            <w:tcW w:w="990" w:type="dxa"/>
            <w:hideMark/>
          </w:tcPr>
          <w:p w14:paraId="699F2FE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42,41%</w:t>
            </w:r>
          </w:p>
        </w:tc>
      </w:tr>
      <w:tr w:rsidR="00F02E61" w:rsidRPr="00F02E61" w14:paraId="4590562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04FE9402"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Deso</w:t>
            </w:r>
          </w:p>
        </w:tc>
        <w:tc>
          <w:tcPr>
            <w:tcW w:w="1248" w:type="dxa"/>
            <w:hideMark/>
          </w:tcPr>
          <w:p w14:paraId="3580B70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6,95%</w:t>
            </w:r>
          </w:p>
        </w:tc>
        <w:tc>
          <w:tcPr>
            <w:tcW w:w="1249" w:type="dxa"/>
            <w:hideMark/>
          </w:tcPr>
          <w:p w14:paraId="25F9E75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6,31%</w:t>
            </w:r>
          </w:p>
        </w:tc>
        <w:tc>
          <w:tcPr>
            <w:tcW w:w="1249" w:type="dxa"/>
            <w:hideMark/>
          </w:tcPr>
          <w:p w14:paraId="7F2C30F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10,37%</w:t>
            </w:r>
          </w:p>
        </w:tc>
        <w:tc>
          <w:tcPr>
            <w:tcW w:w="1178" w:type="dxa"/>
            <w:hideMark/>
          </w:tcPr>
          <w:p w14:paraId="5D5E8CE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5,00%</w:t>
            </w:r>
          </w:p>
        </w:tc>
        <w:tc>
          <w:tcPr>
            <w:tcW w:w="1093" w:type="dxa"/>
            <w:hideMark/>
          </w:tcPr>
          <w:p w14:paraId="0F51583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6,41%</w:t>
            </w:r>
          </w:p>
        </w:tc>
        <w:tc>
          <w:tcPr>
            <w:tcW w:w="990" w:type="dxa"/>
            <w:hideMark/>
          </w:tcPr>
          <w:p w14:paraId="3EB1C99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9,37%</w:t>
            </w:r>
          </w:p>
        </w:tc>
      </w:tr>
      <w:tr w:rsidR="00F02E61" w:rsidRPr="00F02E61" w14:paraId="1FBD037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4D456F34"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Embasa</w:t>
            </w:r>
          </w:p>
        </w:tc>
        <w:tc>
          <w:tcPr>
            <w:tcW w:w="1248" w:type="dxa"/>
            <w:hideMark/>
          </w:tcPr>
          <w:p w14:paraId="7BC80CB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2,73%</w:t>
            </w:r>
          </w:p>
        </w:tc>
        <w:tc>
          <w:tcPr>
            <w:tcW w:w="1249" w:type="dxa"/>
            <w:hideMark/>
          </w:tcPr>
          <w:p w14:paraId="449C6E6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6,82%</w:t>
            </w:r>
          </w:p>
        </w:tc>
        <w:tc>
          <w:tcPr>
            <w:tcW w:w="1249" w:type="dxa"/>
            <w:hideMark/>
          </w:tcPr>
          <w:p w14:paraId="4043EF3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7,02%</w:t>
            </w:r>
          </w:p>
        </w:tc>
        <w:tc>
          <w:tcPr>
            <w:tcW w:w="1178" w:type="dxa"/>
            <w:hideMark/>
          </w:tcPr>
          <w:p w14:paraId="093DA2C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14,17%</w:t>
            </w:r>
          </w:p>
        </w:tc>
        <w:tc>
          <w:tcPr>
            <w:tcW w:w="1093" w:type="dxa"/>
            <w:hideMark/>
          </w:tcPr>
          <w:p w14:paraId="1C9A2E7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9,63%</w:t>
            </w:r>
          </w:p>
        </w:tc>
        <w:tc>
          <w:tcPr>
            <w:tcW w:w="990" w:type="dxa"/>
            <w:hideMark/>
          </w:tcPr>
          <w:p w14:paraId="61F56F5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9,87%</w:t>
            </w:r>
          </w:p>
        </w:tc>
      </w:tr>
      <w:tr w:rsidR="00F02E61" w:rsidRPr="00F02E61" w14:paraId="0ED9CB9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13BDD07"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Sabesp</w:t>
            </w:r>
          </w:p>
        </w:tc>
        <w:tc>
          <w:tcPr>
            <w:tcW w:w="1248" w:type="dxa"/>
            <w:hideMark/>
          </w:tcPr>
          <w:p w14:paraId="609B30B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-2,78%</w:t>
            </w:r>
          </w:p>
        </w:tc>
        <w:tc>
          <w:tcPr>
            <w:tcW w:w="1249" w:type="dxa"/>
            <w:hideMark/>
          </w:tcPr>
          <w:p w14:paraId="3CA951F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-0,10%</w:t>
            </w:r>
          </w:p>
        </w:tc>
        <w:tc>
          <w:tcPr>
            <w:tcW w:w="1249" w:type="dxa"/>
            <w:hideMark/>
          </w:tcPr>
          <w:p w14:paraId="46B98CD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-0,51%</w:t>
            </w:r>
          </w:p>
        </w:tc>
        <w:tc>
          <w:tcPr>
            <w:tcW w:w="1178" w:type="dxa"/>
            <w:hideMark/>
          </w:tcPr>
          <w:p w14:paraId="575D5C2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0,58%</w:t>
            </w:r>
          </w:p>
        </w:tc>
        <w:tc>
          <w:tcPr>
            <w:tcW w:w="1093" w:type="dxa"/>
            <w:hideMark/>
          </w:tcPr>
          <w:p w14:paraId="33A5905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-3,18%</w:t>
            </w:r>
          </w:p>
        </w:tc>
        <w:tc>
          <w:tcPr>
            <w:tcW w:w="990" w:type="dxa"/>
            <w:hideMark/>
          </w:tcPr>
          <w:p w14:paraId="719F7F0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3,82%</w:t>
            </w:r>
          </w:p>
        </w:tc>
      </w:tr>
      <w:tr w:rsidR="00F02E61" w:rsidRPr="00F02E61" w14:paraId="7D2CBBF3"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4647722"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Saneago</w:t>
            </w:r>
          </w:p>
        </w:tc>
        <w:tc>
          <w:tcPr>
            <w:tcW w:w="1248" w:type="dxa"/>
            <w:hideMark/>
          </w:tcPr>
          <w:p w14:paraId="2D3B494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0,16%</w:t>
            </w:r>
          </w:p>
        </w:tc>
        <w:tc>
          <w:tcPr>
            <w:tcW w:w="1249" w:type="dxa"/>
            <w:hideMark/>
          </w:tcPr>
          <w:p w14:paraId="567771F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5,33%</w:t>
            </w:r>
          </w:p>
        </w:tc>
        <w:tc>
          <w:tcPr>
            <w:tcW w:w="1249" w:type="dxa"/>
            <w:hideMark/>
          </w:tcPr>
          <w:p w14:paraId="3F5C525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5,08%</w:t>
            </w:r>
          </w:p>
        </w:tc>
        <w:tc>
          <w:tcPr>
            <w:tcW w:w="1178" w:type="dxa"/>
            <w:hideMark/>
          </w:tcPr>
          <w:p w14:paraId="53CFE19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0,88%</w:t>
            </w:r>
          </w:p>
        </w:tc>
        <w:tc>
          <w:tcPr>
            <w:tcW w:w="1093" w:type="dxa"/>
            <w:hideMark/>
          </w:tcPr>
          <w:p w14:paraId="690E661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0,53%</w:t>
            </w:r>
          </w:p>
        </w:tc>
        <w:tc>
          <w:tcPr>
            <w:tcW w:w="990" w:type="dxa"/>
            <w:hideMark/>
          </w:tcPr>
          <w:p w14:paraId="686EC94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0,23%</w:t>
            </w:r>
          </w:p>
        </w:tc>
      </w:tr>
      <w:tr w:rsidR="00F02E61" w:rsidRPr="00F02E61" w14:paraId="06430FC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38334F97"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val="es-CO" w:eastAsia="es-CO"/>
              </w:rPr>
              <w:t>Saneatins</w:t>
            </w:r>
          </w:p>
        </w:tc>
        <w:tc>
          <w:tcPr>
            <w:tcW w:w="1248" w:type="dxa"/>
            <w:hideMark/>
          </w:tcPr>
          <w:p w14:paraId="2381268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2,93%</w:t>
            </w:r>
          </w:p>
        </w:tc>
        <w:tc>
          <w:tcPr>
            <w:tcW w:w="1249" w:type="dxa"/>
            <w:hideMark/>
          </w:tcPr>
          <w:p w14:paraId="2CAEE3C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1,64%</w:t>
            </w:r>
          </w:p>
        </w:tc>
        <w:tc>
          <w:tcPr>
            <w:tcW w:w="1249" w:type="dxa"/>
            <w:hideMark/>
          </w:tcPr>
          <w:p w14:paraId="4C64222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7,37%</w:t>
            </w:r>
          </w:p>
        </w:tc>
        <w:tc>
          <w:tcPr>
            <w:tcW w:w="1178" w:type="dxa"/>
            <w:hideMark/>
          </w:tcPr>
          <w:p w14:paraId="387E1C9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-1,45%</w:t>
            </w:r>
          </w:p>
        </w:tc>
        <w:tc>
          <w:tcPr>
            <w:tcW w:w="1093" w:type="dxa"/>
            <w:hideMark/>
          </w:tcPr>
          <w:p w14:paraId="591C779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0,16%</w:t>
            </w:r>
          </w:p>
        </w:tc>
        <w:tc>
          <w:tcPr>
            <w:tcW w:w="990" w:type="dxa"/>
            <w:hideMark/>
          </w:tcPr>
          <w:p w14:paraId="3424E3C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7,15%</w:t>
            </w:r>
          </w:p>
        </w:tc>
      </w:tr>
      <w:tr w:rsidR="00F02E61" w:rsidRPr="00F02E61" w14:paraId="4B1AF4F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55C20263"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Sanepar</w:t>
            </w:r>
          </w:p>
        </w:tc>
        <w:tc>
          <w:tcPr>
            <w:tcW w:w="1248" w:type="dxa"/>
            <w:hideMark/>
          </w:tcPr>
          <w:p w14:paraId="0EE284C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0,88%</w:t>
            </w:r>
          </w:p>
        </w:tc>
        <w:tc>
          <w:tcPr>
            <w:tcW w:w="1249" w:type="dxa"/>
            <w:hideMark/>
          </w:tcPr>
          <w:p w14:paraId="230CA6F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3,21%</w:t>
            </w:r>
          </w:p>
        </w:tc>
        <w:tc>
          <w:tcPr>
            <w:tcW w:w="1249" w:type="dxa"/>
            <w:hideMark/>
          </w:tcPr>
          <w:p w14:paraId="376D9E4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3,04%</w:t>
            </w:r>
          </w:p>
        </w:tc>
        <w:tc>
          <w:tcPr>
            <w:tcW w:w="1178" w:type="dxa"/>
            <w:hideMark/>
          </w:tcPr>
          <w:p w14:paraId="035D05A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2,46%</w:t>
            </w:r>
          </w:p>
        </w:tc>
        <w:tc>
          <w:tcPr>
            <w:tcW w:w="1093" w:type="dxa"/>
            <w:hideMark/>
          </w:tcPr>
          <w:p w14:paraId="22AD6EB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-0,73%</w:t>
            </w:r>
          </w:p>
        </w:tc>
        <w:tc>
          <w:tcPr>
            <w:tcW w:w="990" w:type="dxa"/>
            <w:hideMark/>
          </w:tcPr>
          <w:p w14:paraId="727D470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-0,27%</w:t>
            </w:r>
          </w:p>
        </w:tc>
      </w:tr>
      <w:tr w:rsidR="00F02E61" w:rsidRPr="00F02E61" w14:paraId="7A2ADBD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7" w:type="dxa"/>
            <w:hideMark/>
          </w:tcPr>
          <w:p w14:paraId="643499B2"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Sanesul</w:t>
            </w:r>
          </w:p>
        </w:tc>
        <w:tc>
          <w:tcPr>
            <w:tcW w:w="1248" w:type="dxa"/>
            <w:hideMark/>
          </w:tcPr>
          <w:p w14:paraId="50F9261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5,30%</w:t>
            </w:r>
          </w:p>
        </w:tc>
        <w:tc>
          <w:tcPr>
            <w:tcW w:w="1249" w:type="dxa"/>
            <w:hideMark/>
          </w:tcPr>
          <w:p w14:paraId="0136434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8,19%</w:t>
            </w:r>
          </w:p>
        </w:tc>
        <w:tc>
          <w:tcPr>
            <w:tcW w:w="1249" w:type="dxa"/>
            <w:hideMark/>
          </w:tcPr>
          <w:p w14:paraId="19C0B4B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0,63%</w:t>
            </w:r>
          </w:p>
        </w:tc>
        <w:tc>
          <w:tcPr>
            <w:tcW w:w="1178" w:type="dxa"/>
            <w:hideMark/>
          </w:tcPr>
          <w:p w14:paraId="10E2B9B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0,32%</w:t>
            </w:r>
          </w:p>
        </w:tc>
        <w:tc>
          <w:tcPr>
            <w:tcW w:w="1093" w:type="dxa"/>
            <w:hideMark/>
          </w:tcPr>
          <w:p w14:paraId="64FB548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0,40%</w:t>
            </w:r>
          </w:p>
        </w:tc>
        <w:tc>
          <w:tcPr>
            <w:tcW w:w="990" w:type="dxa"/>
            <w:hideMark/>
          </w:tcPr>
          <w:p w14:paraId="18E73D6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5,65%</w:t>
            </w:r>
          </w:p>
        </w:tc>
      </w:tr>
    </w:tbl>
    <w:p w14:paraId="623ABFC8" w14:textId="0258739A" w:rsidR="00735641" w:rsidRPr="00042F25" w:rsidRDefault="00735641" w:rsidP="00735641">
      <w:pPr>
        <w:pStyle w:val="Descripcin"/>
        <w:spacing w:before="0" w:beforeAutospacing="0"/>
        <w:jc w:val="left"/>
        <w:rPr>
          <w:sz w:val="20"/>
        </w:rPr>
      </w:pPr>
      <w:r w:rsidRPr="00042F25">
        <w:rPr>
          <w:sz w:val="20"/>
        </w:rPr>
        <w:t>Fonte: SNIS 2015. Elaborado por: GO Associados</w:t>
      </w:r>
    </w:p>
    <w:p w14:paraId="3D11FE2A" w14:textId="77777777" w:rsidR="00F4306B" w:rsidRPr="00042F25" w:rsidRDefault="00F4306B" w:rsidP="00F4306B"/>
    <w:p w14:paraId="76506446" w14:textId="4EFD3A37" w:rsidR="00F4306B" w:rsidRPr="00042F25" w:rsidRDefault="00F4306B" w:rsidP="00C71C89">
      <w:pPr>
        <w:pStyle w:val="Ttulo2"/>
        <w:ind w:left="1427"/>
      </w:pPr>
      <w:bookmarkStart w:id="49" w:name="_Toc493094935"/>
      <w:r w:rsidRPr="00042F25">
        <w:t>Índice de liq</w:t>
      </w:r>
      <w:r w:rsidR="001E1F40">
        <w:t>uidez Corrente</w:t>
      </w:r>
      <w:bookmarkEnd w:id="49"/>
    </w:p>
    <w:p w14:paraId="0523DB87" w14:textId="1B3B9643" w:rsidR="00F4306B" w:rsidRPr="00042F25" w:rsidRDefault="00F4306B" w:rsidP="00F4306B">
      <w:r w:rsidRPr="00042F25">
        <w:t xml:space="preserve">O índice de </w:t>
      </w:r>
      <w:r w:rsidR="00131C73" w:rsidRPr="00042F25">
        <w:t xml:space="preserve">liquidez </w:t>
      </w:r>
      <w:r w:rsidR="001E1F40">
        <w:t>corrente</w:t>
      </w:r>
      <w:r w:rsidR="00131C73" w:rsidRPr="00042F25">
        <w:t xml:space="preserve"> (IN06</w:t>
      </w:r>
      <w:r w:rsidR="001E1F40">
        <w:t>1</w:t>
      </w:r>
      <w:r w:rsidRPr="00042F25">
        <w:t>)</w:t>
      </w:r>
      <w:r w:rsidR="00131C73" w:rsidRPr="00042F25">
        <w:t xml:space="preserve"> usa o ativo circulante (BL001)</w:t>
      </w:r>
      <w:r w:rsidR="001E1F40">
        <w:t xml:space="preserve"> e </w:t>
      </w:r>
      <w:r w:rsidR="00131C73" w:rsidRPr="00042F25">
        <w:t xml:space="preserve">o passivo circulante (BL005) </w:t>
      </w:r>
      <w:r w:rsidRPr="00042F25">
        <w:t xml:space="preserve">para o seu cálculo: </w:t>
      </w:r>
    </w:p>
    <w:p w14:paraId="4BA97487" w14:textId="11F11951" w:rsidR="00F4306B" w:rsidRPr="00042F25" w:rsidRDefault="00F4306B" w:rsidP="00114CDA">
      <w:pPr>
        <w:jc w:val="center"/>
      </w:pPr>
      <m:oMathPara>
        <m:oMath>
          <m:r>
            <w:rPr>
              <w:rFonts w:ascii="Cambria Math" w:hAnsi="Cambria Math"/>
            </w:rPr>
            <w:lastRenderedPageBreak/>
            <m:t xml:space="preserve">IN061= </m:t>
          </m:r>
          <m:f>
            <m:fPr>
              <m:ctrlPr>
                <w:rPr>
                  <w:rFonts w:ascii="Cambria Math" w:hAnsi="Cambria Math"/>
                  <w:i/>
                </w:rPr>
              </m:ctrlPr>
            </m:fPr>
            <m:num>
              <m:r>
                <w:rPr>
                  <w:rFonts w:ascii="Cambria Math" w:hAnsi="Cambria Math"/>
                </w:rPr>
                <m:t>BL001</m:t>
              </m:r>
            </m:num>
            <m:den>
              <m:r>
                <w:rPr>
                  <w:rFonts w:ascii="Cambria Math" w:hAnsi="Cambria Math"/>
                </w:rPr>
                <m:t>BL005</m:t>
              </m:r>
            </m:den>
          </m:f>
        </m:oMath>
      </m:oMathPara>
    </w:p>
    <w:p w14:paraId="3EE83882" w14:textId="5C0515DD" w:rsidR="00F4306B" w:rsidRPr="00042F25" w:rsidRDefault="00233140" w:rsidP="00F4306B">
      <w:r w:rsidRPr="00042F25">
        <w:t xml:space="preserve">Este índice avalia a capacidade de pagamento da empresa frente a suas obrigações, levando em consideração a situação a </w:t>
      </w:r>
      <w:r w:rsidR="001E1F40">
        <w:t>curto prazo</w:t>
      </w:r>
      <w:r w:rsidRPr="00042F25">
        <w:t xml:space="preserve">. </w:t>
      </w:r>
      <w:r w:rsidR="00CC558F" w:rsidRPr="00EA348F">
        <w:t>A liquidez corrente denota a capacidade de pagamento, a curto prazo, da empresa e, teoricamente, o risco de crédito será maior na medida em que a liquidez for menor. Entretanto, o cálculo deste índice parte de uma posição estática (data de encerramento do balanço), sendo portanto possível de distorções quanto à realidade.</w:t>
      </w:r>
    </w:p>
    <w:p w14:paraId="6FC3B3D7" w14:textId="474E7FAB" w:rsidR="00471FB7" w:rsidRDefault="00471FB7" w:rsidP="00471FB7">
      <w:pPr>
        <w:pStyle w:val="Descripcin"/>
      </w:pPr>
      <w:bookmarkStart w:id="50" w:name="_Toc493222490"/>
      <w:r w:rsidRPr="001571A1">
        <w:t xml:space="preserve">Quadro </w:t>
      </w:r>
      <w:fldSimple w:instr=" SEQ Quadro \* ARABIC ">
        <w:r w:rsidR="00B64D1C" w:rsidRPr="001571A1">
          <w:rPr>
            <w:noProof/>
          </w:rPr>
          <w:t>27</w:t>
        </w:r>
      </w:fldSimple>
      <w:r w:rsidRPr="001571A1">
        <w:t xml:space="preserve"> – Índice de Liquidez </w:t>
      </w:r>
      <w:r w:rsidR="00FB698D" w:rsidRPr="001571A1">
        <w:t>CORRENTE</w:t>
      </w:r>
      <w:r w:rsidRPr="001571A1">
        <w:t xml:space="preserve"> (IN06</w:t>
      </w:r>
      <w:r w:rsidR="00FB698D" w:rsidRPr="001571A1">
        <w:t>1</w:t>
      </w:r>
      <w:r w:rsidRPr="001571A1">
        <w:t>)</w:t>
      </w:r>
      <w:bookmarkEnd w:id="50"/>
    </w:p>
    <w:tbl>
      <w:tblPr>
        <w:tblStyle w:val="Tabladecuadrcula4-nfasis11"/>
        <w:tblW w:w="9678" w:type="dxa"/>
        <w:jc w:val="center"/>
        <w:tblLook w:val="04A0" w:firstRow="1" w:lastRow="0" w:firstColumn="1" w:lastColumn="0" w:noHBand="0" w:noVBand="1"/>
      </w:tblPr>
      <w:tblGrid>
        <w:gridCol w:w="1231"/>
        <w:gridCol w:w="1426"/>
        <w:gridCol w:w="1426"/>
        <w:gridCol w:w="1426"/>
        <w:gridCol w:w="1414"/>
        <w:gridCol w:w="1329"/>
        <w:gridCol w:w="1426"/>
      </w:tblGrid>
      <w:tr w:rsidR="00DA1ED1" w:rsidRPr="00DA1ED1" w14:paraId="5C26DF6C" w14:textId="77777777" w:rsidTr="00EA348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C58A17A" w14:textId="77777777" w:rsidR="00DA1ED1" w:rsidRPr="00DA1ED1" w:rsidRDefault="00DA1ED1" w:rsidP="00DA1ED1">
            <w:pPr>
              <w:spacing w:before="0" w:beforeAutospacing="0" w:after="0" w:afterAutospacing="0" w:line="240" w:lineRule="auto"/>
              <w:ind w:firstLine="0"/>
              <w:jc w:val="left"/>
              <w:rPr>
                <w:color w:val="FFFFFF"/>
                <w:sz w:val="22"/>
                <w:lang w:val="es-CO" w:eastAsia="es-CO"/>
              </w:rPr>
            </w:pPr>
            <w:r w:rsidRPr="00DA1ED1">
              <w:rPr>
                <w:color w:val="FFFFFF"/>
                <w:sz w:val="22"/>
                <w:lang w:eastAsia="es-CO"/>
              </w:rPr>
              <w:t>Empresa</w:t>
            </w:r>
          </w:p>
        </w:tc>
        <w:tc>
          <w:tcPr>
            <w:tcW w:w="1426" w:type="dxa"/>
            <w:hideMark/>
          </w:tcPr>
          <w:p w14:paraId="6F37CD3D" w14:textId="77777777" w:rsidR="00DA1ED1" w:rsidRPr="00DA1ED1" w:rsidRDefault="00DA1ED1" w:rsidP="00DA1ED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DA1ED1">
              <w:rPr>
                <w:color w:val="FFFFFF"/>
                <w:sz w:val="22"/>
                <w:lang w:eastAsia="es-CO"/>
              </w:rPr>
              <w:t>2010</w:t>
            </w:r>
          </w:p>
        </w:tc>
        <w:tc>
          <w:tcPr>
            <w:tcW w:w="1426" w:type="dxa"/>
            <w:hideMark/>
          </w:tcPr>
          <w:p w14:paraId="4AC98A2E" w14:textId="77777777" w:rsidR="00DA1ED1" w:rsidRPr="00DA1ED1" w:rsidRDefault="00DA1ED1" w:rsidP="00DA1ED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DA1ED1">
              <w:rPr>
                <w:color w:val="FFFFFF"/>
                <w:sz w:val="22"/>
                <w:lang w:eastAsia="es-CO"/>
              </w:rPr>
              <w:t>2011</w:t>
            </w:r>
          </w:p>
        </w:tc>
        <w:tc>
          <w:tcPr>
            <w:tcW w:w="1426" w:type="dxa"/>
            <w:hideMark/>
          </w:tcPr>
          <w:p w14:paraId="30C6EBA4" w14:textId="77777777" w:rsidR="00DA1ED1" w:rsidRPr="00DA1ED1" w:rsidRDefault="00DA1ED1" w:rsidP="00DA1ED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DA1ED1">
              <w:rPr>
                <w:color w:val="FFFFFF"/>
                <w:sz w:val="22"/>
                <w:lang w:eastAsia="es-CO"/>
              </w:rPr>
              <w:t>2012</w:t>
            </w:r>
          </w:p>
        </w:tc>
        <w:tc>
          <w:tcPr>
            <w:tcW w:w="1414" w:type="dxa"/>
            <w:hideMark/>
          </w:tcPr>
          <w:p w14:paraId="5A4ABFC1" w14:textId="77777777" w:rsidR="00DA1ED1" w:rsidRPr="00DA1ED1" w:rsidRDefault="00DA1ED1" w:rsidP="00DA1ED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DA1ED1">
              <w:rPr>
                <w:color w:val="FFFFFF"/>
                <w:sz w:val="22"/>
                <w:lang w:eastAsia="es-CO"/>
              </w:rPr>
              <w:t>2013</w:t>
            </w:r>
          </w:p>
        </w:tc>
        <w:tc>
          <w:tcPr>
            <w:tcW w:w="1329" w:type="dxa"/>
            <w:hideMark/>
          </w:tcPr>
          <w:p w14:paraId="00AB2C67" w14:textId="77777777" w:rsidR="00DA1ED1" w:rsidRPr="00DA1ED1" w:rsidRDefault="00DA1ED1" w:rsidP="00DA1ED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DA1ED1">
              <w:rPr>
                <w:color w:val="FFFFFF"/>
                <w:sz w:val="22"/>
                <w:lang w:eastAsia="es-CO"/>
              </w:rPr>
              <w:t>2014</w:t>
            </w:r>
          </w:p>
        </w:tc>
        <w:tc>
          <w:tcPr>
            <w:tcW w:w="1426" w:type="dxa"/>
            <w:hideMark/>
          </w:tcPr>
          <w:p w14:paraId="41D3245D" w14:textId="77777777" w:rsidR="00DA1ED1" w:rsidRPr="00DA1ED1" w:rsidRDefault="00DA1ED1" w:rsidP="00DA1ED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DA1ED1">
              <w:rPr>
                <w:color w:val="FFFFFF"/>
                <w:sz w:val="22"/>
                <w:lang w:eastAsia="es-CO"/>
              </w:rPr>
              <w:t>2015</w:t>
            </w:r>
          </w:p>
        </w:tc>
      </w:tr>
      <w:tr w:rsidR="00DA1ED1" w:rsidRPr="00DA1ED1" w14:paraId="3F2F0A6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A561D28"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Agespisa</w:t>
            </w:r>
          </w:p>
        </w:tc>
        <w:tc>
          <w:tcPr>
            <w:tcW w:w="1426" w:type="dxa"/>
            <w:hideMark/>
          </w:tcPr>
          <w:p w14:paraId="34A9691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0,24 </w:t>
            </w:r>
          </w:p>
        </w:tc>
        <w:tc>
          <w:tcPr>
            <w:tcW w:w="1426" w:type="dxa"/>
            <w:hideMark/>
          </w:tcPr>
          <w:p w14:paraId="62315DDC"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0,26 </w:t>
            </w:r>
          </w:p>
        </w:tc>
        <w:tc>
          <w:tcPr>
            <w:tcW w:w="1426" w:type="dxa"/>
            <w:hideMark/>
          </w:tcPr>
          <w:p w14:paraId="1AEABE3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0,24 </w:t>
            </w:r>
          </w:p>
        </w:tc>
        <w:tc>
          <w:tcPr>
            <w:tcW w:w="1414" w:type="dxa"/>
            <w:hideMark/>
          </w:tcPr>
          <w:p w14:paraId="3A8F9F5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0,25 </w:t>
            </w:r>
          </w:p>
        </w:tc>
        <w:tc>
          <w:tcPr>
            <w:tcW w:w="1329" w:type="dxa"/>
            <w:hideMark/>
          </w:tcPr>
          <w:p w14:paraId="32E0AD4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0,21 </w:t>
            </w:r>
          </w:p>
        </w:tc>
        <w:tc>
          <w:tcPr>
            <w:tcW w:w="1426" w:type="dxa"/>
            <w:hideMark/>
          </w:tcPr>
          <w:p w14:paraId="7063C951"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0,19 </w:t>
            </w:r>
          </w:p>
        </w:tc>
      </w:tr>
      <w:tr w:rsidR="00DA1ED1" w:rsidRPr="00DA1ED1" w14:paraId="39B6802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AB00E48"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Caema</w:t>
            </w:r>
          </w:p>
        </w:tc>
        <w:tc>
          <w:tcPr>
            <w:tcW w:w="1426" w:type="dxa"/>
            <w:hideMark/>
          </w:tcPr>
          <w:p w14:paraId="1F209E5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0,96 </w:t>
            </w:r>
          </w:p>
        </w:tc>
        <w:tc>
          <w:tcPr>
            <w:tcW w:w="1426" w:type="dxa"/>
            <w:hideMark/>
          </w:tcPr>
          <w:p w14:paraId="41678D0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1,00 </w:t>
            </w:r>
          </w:p>
        </w:tc>
        <w:tc>
          <w:tcPr>
            <w:tcW w:w="1426" w:type="dxa"/>
            <w:hideMark/>
          </w:tcPr>
          <w:p w14:paraId="3C9A376F"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1,02 </w:t>
            </w:r>
          </w:p>
        </w:tc>
        <w:tc>
          <w:tcPr>
            <w:tcW w:w="1414" w:type="dxa"/>
            <w:hideMark/>
          </w:tcPr>
          <w:p w14:paraId="034D7AC4"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1,20 </w:t>
            </w:r>
          </w:p>
        </w:tc>
        <w:tc>
          <w:tcPr>
            <w:tcW w:w="1329" w:type="dxa"/>
            <w:hideMark/>
          </w:tcPr>
          <w:p w14:paraId="4E6B51B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0,59 </w:t>
            </w:r>
          </w:p>
        </w:tc>
        <w:tc>
          <w:tcPr>
            <w:tcW w:w="1426" w:type="dxa"/>
            <w:hideMark/>
          </w:tcPr>
          <w:p w14:paraId="062AF99C"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0,58 </w:t>
            </w:r>
          </w:p>
        </w:tc>
      </w:tr>
      <w:tr w:rsidR="00DA1ED1" w:rsidRPr="00DA1ED1" w14:paraId="1A395D9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95F57FF"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Caer</w:t>
            </w:r>
          </w:p>
        </w:tc>
        <w:tc>
          <w:tcPr>
            <w:tcW w:w="1426" w:type="dxa"/>
            <w:hideMark/>
          </w:tcPr>
          <w:p w14:paraId="49BFA6D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0,94 </w:t>
            </w:r>
          </w:p>
        </w:tc>
        <w:tc>
          <w:tcPr>
            <w:tcW w:w="1426" w:type="dxa"/>
            <w:hideMark/>
          </w:tcPr>
          <w:p w14:paraId="58700102"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0,49 </w:t>
            </w:r>
          </w:p>
        </w:tc>
        <w:tc>
          <w:tcPr>
            <w:tcW w:w="1426" w:type="dxa"/>
            <w:hideMark/>
          </w:tcPr>
          <w:p w14:paraId="5BE39C71"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0,31 </w:t>
            </w:r>
          </w:p>
        </w:tc>
        <w:tc>
          <w:tcPr>
            <w:tcW w:w="1414" w:type="dxa"/>
            <w:hideMark/>
          </w:tcPr>
          <w:p w14:paraId="45F57869"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0,23 </w:t>
            </w:r>
          </w:p>
        </w:tc>
        <w:tc>
          <w:tcPr>
            <w:tcW w:w="1329" w:type="dxa"/>
            <w:hideMark/>
          </w:tcPr>
          <w:p w14:paraId="75193A6B"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0,14 </w:t>
            </w:r>
          </w:p>
        </w:tc>
        <w:tc>
          <w:tcPr>
            <w:tcW w:w="1426" w:type="dxa"/>
            <w:hideMark/>
          </w:tcPr>
          <w:p w14:paraId="63E318C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0,13 </w:t>
            </w:r>
          </w:p>
        </w:tc>
      </w:tr>
      <w:tr w:rsidR="00DA1ED1" w:rsidRPr="00DA1ED1" w14:paraId="2AD5626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5C8032F"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Caerd</w:t>
            </w:r>
          </w:p>
        </w:tc>
        <w:tc>
          <w:tcPr>
            <w:tcW w:w="1426" w:type="dxa"/>
            <w:hideMark/>
          </w:tcPr>
          <w:p w14:paraId="052EE4B0"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0,13 </w:t>
            </w:r>
          </w:p>
        </w:tc>
        <w:tc>
          <w:tcPr>
            <w:tcW w:w="1426" w:type="dxa"/>
            <w:hideMark/>
          </w:tcPr>
          <w:p w14:paraId="7307F9C5"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0,13 </w:t>
            </w:r>
          </w:p>
        </w:tc>
        <w:tc>
          <w:tcPr>
            <w:tcW w:w="1426" w:type="dxa"/>
            <w:hideMark/>
          </w:tcPr>
          <w:p w14:paraId="1405DF7F"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0,14 </w:t>
            </w:r>
          </w:p>
        </w:tc>
        <w:tc>
          <w:tcPr>
            <w:tcW w:w="1414" w:type="dxa"/>
            <w:hideMark/>
          </w:tcPr>
          <w:p w14:paraId="405BD863"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0,14 </w:t>
            </w:r>
          </w:p>
        </w:tc>
        <w:tc>
          <w:tcPr>
            <w:tcW w:w="1329" w:type="dxa"/>
            <w:hideMark/>
          </w:tcPr>
          <w:p w14:paraId="1E89323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0,13 </w:t>
            </w:r>
          </w:p>
        </w:tc>
        <w:tc>
          <w:tcPr>
            <w:tcW w:w="1426" w:type="dxa"/>
            <w:hideMark/>
          </w:tcPr>
          <w:p w14:paraId="1058698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0,19 </w:t>
            </w:r>
          </w:p>
        </w:tc>
      </w:tr>
      <w:tr w:rsidR="00DA1ED1" w:rsidRPr="00DA1ED1" w14:paraId="40DE7C2F"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72D7ECF"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Caern</w:t>
            </w:r>
          </w:p>
        </w:tc>
        <w:tc>
          <w:tcPr>
            <w:tcW w:w="1426" w:type="dxa"/>
            <w:hideMark/>
          </w:tcPr>
          <w:p w14:paraId="0766A02C"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2,30 </w:t>
            </w:r>
          </w:p>
        </w:tc>
        <w:tc>
          <w:tcPr>
            <w:tcW w:w="1426" w:type="dxa"/>
            <w:hideMark/>
          </w:tcPr>
          <w:p w14:paraId="071B6AB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1,49 </w:t>
            </w:r>
          </w:p>
        </w:tc>
        <w:tc>
          <w:tcPr>
            <w:tcW w:w="1426" w:type="dxa"/>
            <w:hideMark/>
          </w:tcPr>
          <w:p w14:paraId="41D9A0D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1,98 </w:t>
            </w:r>
          </w:p>
        </w:tc>
        <w:tc>
          <w:tcPr>
            <w:tcW w:w="1414" w:type="dxa"/>
            <w:hideMark/>
          </w:tcPr>
          <w:p w14:paraId="54FBE79D"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2,08 </w:t>
            </w:r>
          </w:p>
        </w:tc>
        <w:tc>
          <w:tcPr>
            <w:tcW w:w="1329" w:type="dxa"/>
            <w:hideMark/>
          </w:tcPr>
          <w:p w14:paraId="5EF162E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2,25 </w:t>
            </w:r>
          </w:p>
        </w:tc>
        <w:tc>
          <w:tcPr>
            <w:tcW w:w="1426" w:type="dxa"/>
            <w:hideMark/>
          </w:tcPr>
          <w:p w14:paraId="6D6B1A5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2,34 </w:t>
            </w:r>
          </w:p>
        </w:tc>
      </w:tr>
      <w:tr w:rsidR="00DA1ED1" w:rsidRPr="00DA1ED1" w14:paraId="083A866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24EE53A"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Caesa</w:t>
            </w:r>
          </w:p>
        </w:tc>
        <w:tc>
          <w:tcPr>
            <w:tcW w:w="1426" w:type="dxa"/>
            <w:hideMark/>
          </w:tcPr>
          <w:p w14:paraId="17BCA6D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0,58 </w:t>
            </w:r>
          </w:p>
        </w:tc>
        <w:tc>
          <w:tcPr>
            <w:tcW w:w="1426" w:type="dxa"/>
            <w:hideMark/>
          </w:tcPr>
          <w:p w14:paraId="3B59EFA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0,74 </w:t>
            </w:r>
          </w:p>
        </w:tc>
        <w:tc>
          <w:tcPr>
            <w:tcW w:w="1426" w:type="dxa"/>
            <w:hideMark/>
          </w:tcPr>
          <w:p w14:paraId="044BE08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0,21 </w:t>
            </w:r>
          </w:p>
        </w:tc>
        <w:tc>
          <w:tcPr>
            <w:tcW w:w="1414" w:type="dxa"/>
            <w:hideMark/>
          </w:tcPr>
          <w:p w14:paraId="6DF1E62C"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0,35 </w:t>
            </w:r>
          </w:p>
        </w:tc>
        <w:tc>
          <w:tcPr>
            <w:tcW w:w="1329" w:type="dxa"/>
            <w:hideMark/>
          </w:tcPr>
          <w:p w14:paraId="7418103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0,12 </w:t>
            </w:r>
          </w:p>
        </w:tc>
        <w:tc>
          <w:tcPr>
            <w:tcW w:w="1426" w:type="dxa"/>
            <w:hideMark/>
          </w:tcPr>
          <w:p w14:paraId="5A339727"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0,12 </w:t>
            </w:r>
          </w:p>
        </w:tc>
      </w:tr>
      <w:tr w:rsidR="00DA1ED1" w:rsidRPr="00DA1ED1" w14:paraId="572FBE7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84362C7"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Caesb</w:t>
            </w:r>
          </w:p>
        </w:tc>
        <w:tc>
          <w:tcPr>
            <w:tcW w:w="1426" w:type="dxa"/>
            <w:hideMark/>
          </w:tcPr>
          <w:p w14:paraId="5C31571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0,70 </w:t>
            </w:r>
          </w:p>
        </w:tc>
        <w:tc>
          <w:tcPr>
            <w:tcW w:w="1426" w:type="dxa"/>
            <w:hideMark/>
          </w:tcPr>
          <w:p w14:paraId="6BE5FACB"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0,73 </w:t>
            </w:r>
          </w:p>
        </w:tc>
        <w:tc>
          <w:tcPr>
            <w:tcW w:w="1426" w:type="dxa"/>
            <w:hideMark/>
          </w:tcPr>
          <w:p w14:paraId="70D332DB"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0,75 </w:t>
            </w:r>
          </w:p>
        </w:tc>
        <w:tc>
          <w:tcPr>
            <w:tcW w:w="1414" w:type="dxa"/>
            <w:hideMark/>
          </w:tcPr>
          <w:p w14:paraId="7152F829"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1,00 </w:t>
            </w:r>
          </w:p>
        </w:tc>
        <w:tc>
          <w:tcPr>
            <w:tcW w:w="1329" w:type="dxa"/>
            <w:hideMark/>
          </w:tcPr>
          <w:p w14:paraId="17073FCC"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0,72 </w:t>
            </w:r>
          </w:p>
        </w:tc>
        <w:tc>
          <w:tcPr>
            <w:tcW w:w="1426" w:type="dxa"/>
            <w:hideMark/>
          </w:tcPr>
          <w:p w14:paraId="0C27352D"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0,99 </w:t>
            </w:r>
          </w:p>
        </w:tc>
      </w:tr>
      <w:tr w:rsidR="00DA1ED1" w:rsidRPr="00DA1ED1" w14:paraId="7A8665C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DA9A647"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Cagece</w:t>
            </w:r>
          </w:p>
        </w:tc>
        <w:tc>
          <w:tcPr>
            <w:tcW w:w="1426" w:type="dxa"/>
            <w:hideMark/>
          </w:tcPr>
          <w:p w14:paraId="505CD89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0,92 </w:t>
            </w:r>
          </w:p>
        </w:tc>
        <w:tc>
          <w:tcPr>
            <w:tcW w:w="1426" w:type="dxa"/>
            <w:hideMark/>
          </w:tcPr>
          <w:p w14:paraId="14EE2127"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0,90 </w:t>
            </w:r>
          </w:p>
        </w:tc>
        <w:tc>
          <w:tcPr>
            <w:tcW w:w="1426" w:type="dxa"/>
            <w:hideMark/>
          </w:tcPr>
          <w:p w14:paraId="0E7A982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1,01 </w:t>
            </w:r>
          </w:p>
        </w:tc>
        <w:tc>
          <w:tcPr>
            <w:tcW w:w="1414" w:type="dxa"/>
            <w:hideMark/>
          </w:tcPr>
          <w:p w14:paraId="102BF8D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1,23 </w:t>
            </w:r>
          </w:p>
        </w:tc>
        <w:tc>
          <w:tcPr>
            <w:tcW w:w="1329" w:type="dxa"/>
            <w:hideMark/>
          </w:tcPr>
          <w:p w14:paraId="01F646CC"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1,19 </w:t>
            </w:r>
          </w:p>
        </w:tc>
        <w:tc>
          <w:tcPr>
            <w:tcW w:w="1426" w:type="dxa"/>
            <w:hideMark/>
          </w:tcPr>
          <w:p w14:paraId="6006A8C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0,68 </w:t>
            </w:r>
          </w:p>
        </w:tc>
      </w:tr>
      <w:tr w:rsidR="00DA1ED1" w:rsidRPr="00DA1ED1" w14:paraId="32206FD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0FBD266"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Cagepa</w:t>
            </w:r>
          </w:p>
        </w:tc>
        <w:tc>
          <w:tcPr>
            <w:tcW w:w="1426" w:type="dxa"/>
            <w:hideMark/>
          </w:tcPr>
          <w:p w14:paraId="27C348A1"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1,38 </w:t>
            </w:r>
          </w:p>
        </w:tc>
        <w:tc>
          <w:tcPr>
            <w:tcW w:w="1426" w:type="dxa"/>
            <w:hideMark/>
          </w:tcPr>
          <w:p w14:paraId="09C61D76"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1,07 </w:t>
            </w:r>
          </w:p>
        </w:tc>
        <w:tc>
          <w:tcPr>
            <w:tcW w:w="1426" w:type="dxa"/>
            <w:hideMark/>
          </w:tcPr>
          <w:p w14:paraId="1064EA99"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1,19 </w:t>
            </w:r>
          </w:p>
        </w:tc>
        <w:tc>
          <w:tcPr>
            <w:tcW w:w="1414" w:type="dxa"/>
            <w:hideMark/>
          </w:tcPr>
          <w:p w14:paraId="0A88A1F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1,30 </w:t>
            </w:r>
          </w:p>
        </w:tc>
        <w:tc>
          <w:tcPr>
            <w:tcW w:w="1329" w:type="dxa"/>
            <w:hideMark/>
          </w:tcPr>
          <w:p w14:paraId="36B92A1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1,52 </w:t>
            </w:r>
          </w:p>
        </w:tc>
        <w:tc>
          <w:tcPr>
            <w:tcW w:w="1426" w:type="dxa"/>
            <w:hideMark/>
          </w:tcPr>
          <w:p w14:paraId="788F724A"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1,06 </w:t>
            </w:r>
          </w:p>
        </w:tc>
      </w:tr>
      <w:tr w:rsidR="00DA1ED1" w:rsidRPr="00DA1ED1" w14:paraId="41EF0472"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16FD87C"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Casal</w:t>
            </w:r>
          </w:p>
        </w:tc>
        <w:tc>
          <w:tcPr>
            <w:tcW w:w="1426" w:type="dxa"/>
            <w:hideMark/>
          </w:tcPr>
          <w:p w14:paraId="5AD0E22A"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0,55 </w:t>
            </w:r>
          </w:p>
        </w:tc>
        <w:tc>
          <w:tcPr>
            <w:tcW w:w="1426" w:type="dxa"/>
            <w:hideMark/>
          </w:tcPr>
          <w:p w14:paraId="1A814C4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0,26 </w:t>
            </w:r>
          </w:p>
        </w:tc>
        <w:tc>
          <w:tcPr>
            <w:tcW w:w="1426" w:type="dxa"/>
            <w:hideMark/>
          </w:tcPr>
          <w:p w14:paraId="6D585CFD"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0,24 </w:t>
            </w:r>
          </w:p>
        </w:tc>
        <w:tc>
          <w:tcPr>
            <w:tcW w:w="1414" w:type="dxa"/>
            <w:hideMark/>
          </w:tcPr>
          <w:p w14:paraId="71F45942"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0,25 </w:t>
            </w:r>
          </w:p>
        </w:tc>
        <w:tc>
          <w:tcPr>
            <w:tcW w:w="1329" w:type="dxa"/>
            <w:hideMark/>
          </w:tcPr>
          <w:p w14:paraId="461122DA"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0,21 </w:t>
            </w:r>
          </w:p>
        </w:tc>
        <w:tc>
          <w:tcPr>
            <w:tcW w:w="1426" w:type="dxa"/>
            <w:hideMark/>
          </w:tcPr>
          <w:p w14:paraId="1A72D200"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0,24 </w:t>
            </w:r>
          </w:p>
        </w:tc>
      </w:tr>
      <w:tr w:rsidR="00DA1ED1" w:rsidRPr="00DA1ED1" w14:paraId="4A66591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98A56F8"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Casan</w:t>
            </w:r>
          </w:p>
        </w:tc>
        <w:tc>
          <w:tcPr>
            <w:tcW w:w="1426" w:type="dxa"/>
            <w:hideMark/>
          </w:tcPr>
          <w:p w14:paraId="1B371B7F"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1,73 </w:t>
            </w:r>
          </w:p>
        </w:tc>
        <w:tc>
          <w:tcPr>
            <w:tcW w:w="1426" w:type="dxa"/>
            <w:hideMark/>
          </w:tcPr>
          <w:p w14:paraId="2C26A1D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1,23 </w:t>
            </w:r>
          </w:p>
        </w:tc>
        <w:tc>
          <w:tcPr>
            <w:tcW w:w="1426" w:type="dxa"/>
            <w:hideMark/>
          </w:tcPr>
          <w:p w14:paraId="611B929D"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1,07 </w:t>
            </w:r>
          </w:p>
        </w:tc>
        <w:tc>
          <w:tcPr>
            <w:tcW w:w="1414" w:type="dxa"/>
            <w:hideMark/>
          </w:tcPr>
          <w:p w14:paraId="79D4853F"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1,34 </w:t>
            </w:r>
          </w:p>
        </w:tc>
        <w:tc>
          <w:tcPr>
            <w:tcW w:w="1329" w:type="dxa"/>
            <w:hideMark/>
          </w:tcPr>
          <w:p w14:paraId="6908B786"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1,75 </w:t>
            </w:r>
          </w:p>
        </w:tc>
        <w:tc>
          <w:tcPr>
            <w:tcW w:w="1426" w:type="dxa"/>
            <w:hideMark/>
          </w:tcPr>
          <w:p w14:paraId="0E75706A"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1,72 </w:t>
            </w:r>
          </w:p>
        </w:tc>
      </w:tr>
      <w:tr w:rsidR="00DA1ED1" w:rsidRPr="00DA1ED1" w14:paraId="156D58A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374A53D"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Cedae</w:t>
            </w:r>
          </w:p>
        </w:tc>
        <w:tc>
          <w:tcPr>
            <w:tcW w:w="1426" w:type="dxa"/>
            <w:hideMark/>
          </w:tcPr>
          <w:p w14:paraId="3CF405DA"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0,45 </w:t>
            </w:r>
          </w:p>
        </w:tc>
        <w:tc>
          <w:tcPr>
            <w:tcW w:w="1426" w:type="dxa"/>
            <w:hideMark/>
          </w:tcPr>
          <w:p w14:paraId="78915D3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0,68 </w:t>
            </w:r>
          </w:p>
        </w:tc>
        <w:tc>
          <w:tcPr>
            <w:tcW w:w="1426" w:type="dxa"/>
            <w:hideMark/>
          </w:tcPr>
          <w:p w14:paraId="7BB25C86"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0,79 </w:t>
            </w:r>
          </w:p>
        </w:tc>
        <w:tc>
          <w:tcPr>
            <w:tcW w:w="1414" w:type="dxa"/>
            <w:hideMark/>
          </w:tcPr>
          <w:p w14:paraId="0494749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1,01 </w:t>
            </w:r>
          </w:p>
        </w:tc>
        <w:tc>
          <w:tcPr>
            <w:tcW w:w="1329" w:type="dxa"/>
            <w:hideMark/>
          </w:tcPr>
          <w:p w14:paraId="4E49C50F"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1,04 </w:t>
            </w:r>
          </w:p>
        </w:tc>
        <w:tc>
          <w:tcPr>
            <w:tcW w:w="1426" w:type="dxa"/>
            <w:hideMark/>
          </w:tcPr>
          <w:p w14:paraId="7F19A21E"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1,12 </w:t>
            </w:r>
          </w:p>
        </w:tc>
      </w:tr>
      <w:tr w:rsidR="00DA1ED1" w:rsidRPr="00DA1ED1" w14:paraId="03EA07EA"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EEECCF8"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Cesan</w:t>
            </w:r>
          </w:p>
        </w:tc>
        <w:tc>
          <w:tcPr>
            <w:tcW w:w="1426" w:type="dxa"/>
            <w:hideMark/>
          </w:tcPr>
          <w:p w14:paraId="4A3A18D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1,07 </w:t>
            </w:r>
          </w:p>
        </w:tc>
        <w:tc>
          <w:tcPr>
            <w:tcW w:w="1426" w:type="dxa"/>
            <w:hideMark/>
          </w:tcPr>
          <w:p w14:paraId="31D6D1C9"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1,00 </w:t>
            </w:r>
          </w:p>
        </w:tc>
        <w:tc>
          <w:tcPr>
            <w:tcW w:w="1426" w:type="dxa"/>
            <w:hideMark/>
          </w:tcPr>
          <w:p w14:paraId="193AC6EA"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0,89 </w:t>
            </w:r>
          </w:p>
        </w:tc>
        <w:tc>
          <w:tcPr>
            <w:tcW w:w="1414" w:type="dxa"/>
            <w:hideMark/>
          </w:tcPr>
          <w:p w14:paraId="7EEDD00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1,53 </w:t>
            </w:r>
          </w:p>
        </w:tc>
        <w:tc>
          <w:tcPr>
            <w:tcW w:w="1329" w:type="dxa"/>
            <w:hideMark/>
          </w:tcPr>
          <w:p w14:paraId="04519DC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1,05 </w:t>
            </w:r>
          </w:p>
        </w:tc>
        <w:tc>
          <w:tcPr>
            <w:tcW w:w="1426" w:type="dxa"/>
            <w:hideMark/>
          </w:tcPr>
          <w:p w14:paraId="4A1E352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1,27 </w:t>
            </w:r>
          </w:p>
        </w:tc>
      </w:tr>
      <w:tr w:rsidR="00DA1ED1" w:rsidRPr="00DA1ED1" w14:paraId="1026BA4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43E6151"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Compesa</w:t>
            </w:r>
          </w:p>
        </w:tc>
        <w:tc>
          <w:tcPr>
            <w:tcW w:w="1426" w:type="dxa"/>
            <w:hideMark/>
          </w:tcPr>
          <w:p w14:paraId="28283AF1"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1,33 </w:t>
            </w:r>
          </w:p>
        </w:tc>
        <w:tc>
          <w:tcPr>
            <w:tcW w:w="1426" w:type="dxa"/>
            <w:hideMark/>
          </w:tcPr>
          <w:p w14:paraId="2A69F336"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2,55 </w:t>
            </w:r>
          </w:p>
        </w:tc>
        <w:tc>
          <w:tcPr>
            <w:tcW w:w="1426" w:type="dxa"/>
            <w:hideMark/>
          </w:tcPr>
          <w:p w14:paraId="3DA4394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2,50 </w:t>
            </w:r>
          </w:p>
        </w:tc>
        <w:tc>
          <w:tcPr>
            <w:tcW w:w="1414" w:type="dxa"/>
            <w:hideMark/>
          </w:tcPr>
          <w:p w14:paraId="603650C0"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2,01 </w:t>
            </w:r>
          </w:p>
        </w:tc>
        <w:tc>
          <w:tcPr>
            <w:tcW w:w="1329" w:type="dxa"/>
            <w:hideMark/>
          </w:tcPr>
          <w:p w14:paraId="1EC4CE8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1,93 </w:t>
            </w:r>
          </w:p>
        </w:tc>
        <w:tc>
          <w:tcPr>
            <w:tcW w:w="1426" w:type="dxa"/>
            <w:hideMark/>
          </w:tcPr>
          <w:p w14:paraId="7F34301D"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1,91 </w:t>
            </w:r>
          </w:p>
        </w:tc>
      </w:tr>
      <w:tr w:rsidR="00DA1ED1" w:rsidRPr="00DA1ED1" w14:paraId="3B3A6D8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8C50571"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Copasa</w:t>
            </w:r>
          </w:p>
        </w:tc>
        <w:tc>
          <w:tcPr>
            <w:tcW w:w="1426" w:type="dxa"/>
            <w:hideMark/>
          </w:tcPr>
          <w:p w14:paraId="796E9D1C"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0,96 </w:t>
            </w:r>
          </w:p>
        </w:tc>
        <w:tc>
          <w:tcPr>
            <w:tcW w:w="1426" w:type="dxa"/>
            <w:hideMark/>
          </w:tcPr>
          <w:p w14:paraId="238E2BF1"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0,87 </w:t>
            </w:r>
          </w:p>
        </w:tc>
        <w:tc>
          <w:tcPr>
            <w:tcW w:w="1426" w:type="dxa"/>
            <w:hideMark/>
          </w:tcPr>
          <w:p w14:paraId="20387E4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1,35 </w:t>
            </w:r>
          </w:p>
        </w:tc>
        <w:tc>
          <w:tcPr>
            <w:tcW w:w="1414" w:type="dxa"/>
            <w:hideMark/>
          </w:tcPr>
          <w:p w14:paraId="3250B5A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1,14 </w:t>
            </w:r>
          </w:p>
        </w:tc>
        <w:tc>
          <w:tcPr>
            <w:tcW w:w="1329" w:type="dxa"/>
            <w:hideMark/>
          </w:tcPr>
          <w:p w14:paraId="5D554498"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1,14 </w:t>
            </w:r>
          </w:p>
        </w:tc>
        <w:tc>
          <w:tcPr>
            <w:tcW w:w="1426" w:type="dxa"/>
            <w:hideMark/>
          </w:tcPr>
          <w:p w14:paraId="2B356A4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1,31 </w:t>
            </w:r>
          </w:p>
        </w:tc>
      </w:tr>
      <w:tr w:rsidR="00DA1ED1" w:rsidRPr="00DA1ED1" w14:paraId="5F8CAF6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B8877B5"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Corsan</w:t>
            </w:r>
          </w:p>
        </w:tc>
        <w:tc>
          <w:tcPr>
            <w:tcW w:w="1426" w:type="dxa"/>
            <w:hideMark/>
          </w:tcPr>
          <w:p w14:paraId="4D654647"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0,81 </w:t>
            </w:r>
          </w:p>
        </w:tc>
        <w:tc>
          <w:tcPr>
            <w:tcW w:w="1426" w:type="dxa"/>
            <w:hideMark/>
          </w:tcPr>
          <w:p w14:paraId="4145DE5F"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0,94 </w:t>
            </w:r>
          </w:p>
        </w:tc>
        <w:tc>
          <w:tcPr>
            <w:tcW w:w="1426" w:type="dxa"/>
            <w:hideMark/>
          </w:tcPr>
          <w:p w14:paraId="3070AE6A"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0,83 </w:t>
            </w:r>
          </w:p>
        </w:tc>
        <w:tc>
          <w:tcPr>
            <w:tcW w:w="1414" w:type="dxa"/>
            <w:hideMark/>
          </w:tcPr>
          <w:p w14:paraId="6DDFF26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0,78 </w:t>
            </w:r>
          </w:p>
        </w:tc>
        <w:tc>
          <w:tcPr>
            <w:tcW w:w="1329" w:type="dxa"/>
            <w:hideMark/>
          </w:tcPr>
          <w:p w14:paraId="4363F1E0"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0,91 </w:t>
            </w:r>
          </w:p>
        </w:tc>
        <w:tc>
          <w:tcPr>
            <w:tcW w:w="1426" w:type="dxa"/>
            <w:hideMark/>
          </w:tcPr>
          <w:p w14:paraId="6C42F3B7"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0,83 </w:t>
            </w:r>
          </w:p>
        </w:tc>
      </w:tr>
      <w:tr w:rsidR="00DA1ED1" w:rsidRPr="00DA1ED1" w14:paraId="1123D90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33239C5"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Cosanpa</w:t>
            </w:r>
          </w:p>
        </w:tc>
        <w:tc>
          <w:tcPr>
            <w:tcW w:w="1426" w:type="dxa"/>
            <w:hideMark/>
          </w:tcPr>
          <w:p w14:paraId="28DF004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0,53 </w:t>
            </w:r>
          </w:p>
        </w:tc>
        <w:tc>
          <w:tcPr>
            <w:tcW w:w="1426" w:type="dxa"/>
            <w:hideMark/>
          </w:tcPr>
          <w:p w14:paraId="0E196E3F"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0,87 </w:t>
            </w:r>
          </w:p>
        </w:tc>
        <w:tc>
          <w:tcPr>
            <w:tcW w:w="1426" w:type="dxa"/>
            <w:hideMark/>
          </w:tcPr>
          <w:p w14:paraId="00A715F2"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0,93 </w:t>
            </w:r>
          </w:p>
        </w:tc>
        <w:tc>
          <w:tcPr>
            <w:tcW w:w="1414" w:type="dxa"/>
            <w:hideMark/>
          </w:tcPr>
          <w:p w14:paraId="25019B17"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0,56 </w:t>
            </w:r>
          </w:p>
        </w:tc>
        <w:tc>
          <w:tcPr>
            <w:tcW w:w="1329" w:type="dxa"/>
            <w:hideMark/>
          </w:tcPr>
          <w:p w14:paraId="49A78158"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0,74 </w:t>
            </w:r>
          </w:p>
        </w:tc>
        <w:tc>
          <w:tcPr>
            <w:tcW w:w="1426" w:type="dxa"/>
            <w:hideMark/>
          </w:tcPr>
          <w:p w14:paraId="3A19F6F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0,44 </w:t>
            </w:r>
          </w:p>
        </w:tc>
      </w:tr>
      <w:tr w:rsidR="00DA1ED1" w:rsidRPr="00DA1ED1" w14:paraId="06A90E9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74A2BC7"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Depasa</w:t>
            </w:r>
          </w:p>
        </w:tc>
        <w:tc>
          <w:tcPr>
            <w:tcW w:w="1426" w:type="dxa"/>
            <w:hideMark/>
          </w:tcPr>
          <w:p w14:paraId="637E2E4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NA  </w:t>
            </w:r>
          </w:p>
        </w:tc>
        <w:tc>
          <w:tcPr>
            <w:tcW w:w="1426" w:type="dxa"/>
            <w:hideMark/>
          </w:tcPr>
          <w:p w14:paraId="7AC27AD0"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NA  </w:t>
            </w:r>
          </w:p>
        </w:tc>
        <w:tc>
          <w:tcPr>
            <w:tcW w:w="1426" w:type="dxa"/>
            <w:hideMark/>
          </w:tcPr>
          <w:p w14:paraId="11EE64A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NA  </w:t>
            </w:r>
          </w:p>
        </w:tc>
        <w:tc>
          <w:tcPr>
            <w:tcW w:w="1414" w:type="dxa"/>
            <w:hideMark/>
          </w:tcPr>
          <w:p w14:paraId="0198A534"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NA  </w:t>
            </w:r>
          </w:p>
        </w:tc>
        <w:tc>
          <w:tcPr>
            <w:tcW w:w="1329" w:type="dxa"/>
            <w:hideMark/>
          </w:tcPr>
          <w:p w14:paraId="58066E64"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NA  </w:t>
            </w:r>
          </w:p>
        </w:tc>
        <w:tc>
          <w:tcPr>
            <w:tcW w:w="1426" w:type="dxa"/>
            <w:hideMark/>
          </w:tcPr>
          <w:p w14:paraId="09C5DC82"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NA  </w:t>
            </w:r>
          </w:p>
        </w:tc>
      </w:tr>
      <w:tr w:rsidR="00DA1ED1" w:rsidRPr="00DA1ED1" w14:paraId="6849BE7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EA09204"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Deso</w:t>
            </w:r>
          </w:p>
        </w:tc>
        <w:tc>
          <w:tcPr>
            <w:tcW w:w="1426" w:type="dxa"/>
            <w:hideMark/>
          </w:tcPr>
          <w:p w14:paraId="110E65EB"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0,65 </w:t>
            </w:r>
          </w:p>
        </w:tc>
        <w:tc>
          <w:tcPr>
            <w:tcW w:w="1426" w:type="dxa"/>
            <w:hideMark/>
          </w:tcPr>
          <w:p w14:paraId="7068A04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0,77 </w:t>
            </w:r>
          </w:p>
        </w:tc>
        <w:tc>
          <w:tcPr>
            <w:tcW w:w="1426" w:type="dxa"/>
            <w:hideMark/>
          </w:tcPr>
          <w:p w14:paraId="78D93DDF"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1,04 </w:t>
            </w:r>
          </w:p>
        </w:tc>
        <w:tc>
          <w:tcPr>
            <w:tcW w:w="1414" w:type="dxa"/>
            <w:hideMark/>
          </w:tcPr>
          <w:p w14:paraId="412786E1"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0,77 </w:t>
            </w:r>
          </w:p>
        </w:tc>
        <w:tc>
          <w:tcPr>
            <w:tcW w:w="1329" w:type="dxa"/>
            <w:hideMark/>
          </w:tcPr>
          <w:p w14:paraId="246E2AC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0,78 </w:t>
            </w:r>
          </w:p>
        </w:tc>
        <w:tc>
          <w:tcPr>
            <w:tcW w:w="1426" w:type="dxa"/>
            <w:hideMark/>
          </w:tcPr>
          <w:p w14:paraId="316AC66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0,62 </w:t>
            </w:r>
          </w:p>
        </w:tc>
      </w:tr>
      <w:tr w:rsidR="00DA1ED1" w:rsidRPr="00DA1ED1" w14:paraId="36B875D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01D011E"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Embasa</w:t>
            </w:r>
          </w:p>
        </w:tc>
        <w:tc>
          <w:tcPr>
            <w:tcW w:w="1426" w:type="dxa"/>
            <w:hideMark/>
          </w:tcPr>
          <w:p w14:paraId="23C0E1F2"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1,28 </w:t>
            </w:r>
          </w:p>
        </w:tc>
        <w:tc>
          <w:tcPr>
            <w:tcW w:w="1426" w:type="dxa"/>
            <w:hideMark/>
          </w:tcPr>
          <w:p w14:paraId="39A8D91B"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1,19 </w:t>
            </w:r>
          </w:p>
        </w:tc>
        <w:tc>
          <w:tcPr>
            <w:tcW w:w="1426" w:type="dxa"/>
            <w:hideMark/>
          </w:tcPr>
          <w:p w14:paraId="1D9DB2A2"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1,32 </w:t>
            </w:r>
          </w:p>
        </w:tc>
        <w:tc>
          <w:tcPr>
            <w:tcW w:w="1414" w:type="dxa"/>
            <w:hideMark/>
          </w:tcPr>
          <w:p w14:paraId="45DAB1D0"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1,30 </w:t>
            </w:r>
          </w:p>
        </w:tc>
        <w:tc>
          <w:tcPr>
            <w:tcW w:w="1329" w:type="dxa"/>
            <w:hideMark/>
          </w:tcPr>
          <w:p w14:paraId="71E464E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0,93 </w:t>
            </w:r>
          </w:p>
        </w:tc>
        <w:tc>
          <w:tcPr>
            <w:tcW w:w="1426" w:type="dxa"/>
            <w:hideMark/>
          </w:tcPr>
          <w:p w14:paraId="62000B25"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1,32 </w:t>
            </w:r>
          </w:p>
        </w:tc>
      </w:tr>
      <w:tr w:rsidR="00DA1ED1" w:rsidRPr="00DA1ED1" w14:paraId="2A2E044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D8C9190"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Sabesp</w:t>
            </w:r>
          </w:p>
        </w:tc>
        <w:tc>
          <w:tcPr>
            <w:tcW w:w="1426" w:type="dxa"/>
            <w:hideMark/>
          </w:tcPr>
          <w:p w14:paraId="74B93BD1"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1,02 </w:t>
            </w:r>
          </w:p>
        </w:tc>
        <w:tc>
          <w:tcPr>
            <w:tcW w:w="1426" w:type="dxa"/>
            <w:hideMark/>
          </w:tcPr>
          <w:p w14:paraId="0138C07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0,94 </w:t>
            </w:r>
          </w:p>
        </w:tc>
        <w:tc>
          <w:tcPr>
            <w:tcW w:w="1426" w:type="dxa"/>
            <w:hideMark/>
          </w:tcPr>
          <w:p w14:paraId="793C01F9"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0,88 </w:t>
            </w:r>
          </w:p>
        </w:tc>
        <w:tc>
          <w:tcPr>
            <w:tcW w:w="1414" w:type="dxa"/>
            <w:hideMark/>
          </w:tcPr>
          <w:p w14:paraId="0E24938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1,09 </w:t>
            </w:r>
          </w:p>
        </w:tc>
        <w:tc>
          <w:tcPr>
            <w:tcW w:w="1329" w:type="dxa"/>
            <w:hideMark/>
          </w:tcPr>
          <w:p w14:paraId="2C3BD6BE"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0,92 </w:t>
            </w:r>
          </w:p>
        </w:tc>
        <w:tc>
          <w:tcPr>
            <w:tcW w:w="1426" w:type="dxa"/>
            <w:hideMark/>
          </w:tcPr>
          <w:p w14:paraId="0EA9FBD0"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0,92 </w:t>
            </w:r>
          </w:p>
        </w:tc>
      </w:tr>
      <w:tr w:rsidR="00DA1ED1" w:rsidRPr="00DA1ED1" w14:paraId="5F830A2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267B81E"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Saneago</w:t>
            </w:r>
          </w:p>
        </w:tc>
        <w:tc>
          <w:tcPr>
            <w:tcW w:w="1426" w:type="dxa"/>
            <w:hideMark/>
          </w:tcPr>
          <w:p w14:paraId="200F2EF1"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0,85 </w:t>
            </w:r>
          </w:p>
        </w:tc>
        <w:tc>
          <w:tcPr>
            <w:tcW w:w="1426" w:type="dxa"/>
            <w:hideMark/>
          </w:tcPr>
          <w:p w14:paraId="01889771"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0,96 </w:t>
            </w:r>
          </w:p>
        </w:tc>
        <w:tc>
          <w:tcPr>
            <w:tcW w:w="1426" w:type="dxa"/>
            <w:hideMark/>
          </w:tcPr>
          <w:p w14:paraId="70266CE4"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1,16 </w:t>
            </w:r>
          </w:p>
        </w:tc>
        <w:tc>
          <w:tcPr>
            <w:tcW w:w="1414" w:type="dxa"/>
            <w:hideMark/>
          </w:tcPr>
          <w:p w14:paraId="0D2C526E"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0,64 </w:t>
            </w:r>
          </w:p>
        </w:tc>
        <w:tc>
          <w:tcPr>
            <w:tcW w:w="1329" w:type="dxa"/>
            <w:hideMark/>
          </w:tcPr>
          <w:p w14:paraId="7862FEAE"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0,41 </w:t>
            </w:r>
          </w:p>
        </w:tc>
        <w:tc>
          <w:tcPr>
            <w:tcW w:w="1426" w:type="dxa"/>
            <w:hideMark/>
          </w:tcPr>
          <w:p w14:paraId="08D1464F"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0,65 </w:t>
            </w:r>
          </w:p>
        </w:tc>
      </w:tr>
      <w:tr w:rsidR="00DA1ED1" w:rsidRPr="00DA1ED1" w14:paraId="128E201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12988FB"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val="es-CO" w:eastAsia="es-CO"/>
              </w:rPr>
              <w:t>Saneatins</w:t>
            </w:r>
          </w:p>
        </w:tc>
        <w:tc>
          <w:tcPr>
            <w:tcW w:w="1426" w:type="dxa"/>
            <w:hideMark/>
          </w:tcPr>
          <w:p w14:paraId="7178E6F6"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val="es-CO" w:eastAsia="es-CO"/>
              </w:rPr>
              <w:t xml:space="preserve">            1,59 </w:t>
            </w:r>
          </w:p>
        </w:tc>
        <w:tc>
          <w:tcPr>
            <w:tcW w:w="1426" w:type="dxa"/>
            <w:hideMark/>
          </w:tcPr>
          <w:p w14:paraId="46416D2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val="es-CO" w:eastAsia="es-CO"/>
              </w:rPr>
              <w:t xml:space="preserve">            1,15 </w:t>
            </w:r>
          </w:p>
        </w:tc>
        <w:tc>
          <w:tcPr>
            <w:tcW w:w="1426" w:type="dxa"/>
            <w:hideMark/>
          </w:tcPr>
          <w:p w14:paraId="5704EEFE"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val="es-CO" w:eastAsia="es-CO"/>
              </w:rPr>
              <w:t xml:space="preserve">            0,59 </w:t>
            </w:r>
          </w:p>
        </w:tc>
        <w:tc>
          <w:tcPr>
            <w:tcW w:w="1414" w:type="dxa"/>
            <w:hideMark/>
          </w:tcPr>
          <w:p w14:paraId="73517C3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val="es-CO" w:eastAsia="es-CO"/>
              </w:rPr>
              <w:t xml:space="preserve">            0,80 </w:t>
            </w:r>
          </w:p>
        </w:tc>
        <w:tc>
          <w:tcPr>
            <w:tcW w:w="1329" w:type="dxa"/>
            <w:hideMark/>
          </w:tcPr>
          <w:p w14:paraId="1816F9B6"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val="es-CO" w:eastAsia="es-CO"/>
              </w:rPr>
              <w:t xml:space="preserve">            0,60 </w:t>
            </w:r>
          </w:p>
        </w:tc>
        <w:tc>
          <w:tcPr>
            <w:tcW w:w="1426" w:type="dxa"/>
            <w:hideMark/>
          </w:tcPr>
          <w:p w14:paraId="447689B8"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val="es-CO" w:eastAsia="es-CO"/>
              </w:rPr>
              <w:t xml:space="preserve">            1,09 </w:t>
            </w:r>
          </w:p>
        </w:tc>
      </w:tr>
      <w:tr w:rsidR="00DA1ED1" w:rsidRPr="00DA1ED1" w14:paraId="3DC03EC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17156A3"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Sanepar</w:t>
            </w:r>
          </w:p>
        </w:tc>
        <w:tc>
          <w:tcPr>
            <w:tcW w:w="1426" w:type="dxa"/>
            <w:hideMark/>
          </w:tcPr>
          <w:p w14:paraId="24158DF9"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0,86 </w:t>
            </w:r>
          </w:p>
        </w:tc>
        <w:tc>
          <w:tcPr>
            <w:tcW w:w="1426" w:type="dxa"/>
            <w:hideMark/>
          </w:tcPr>
          <w:p w14:paraId="69F44C84"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0,85 </w:t>
            </w:r>
          </w:p>
        </w:tc>
        <w:tc>
          <w:tcPr>
            <w:tcW w:w="1426" w:type="dxa"/>
            <w:hideMark/>
          </w:tcPr>
          <w:p w14:paraId="5C285398"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1,06 </w:t>
            </w:r>
          </w:p>
        </w:tc>
        <w:tc>
          <w:tcPr>
            <w:tcW w:w="1414" w:type="dxa"/>
            <w:hideMark/>
          </w:tcPr>
          <w:p w14:paraId="121BE0CA"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1,10 </w:t>
            </w:r>
          </w:p>
        </w:tc>
        <w:tc>
          <w:tcPr>
            <w:tcW w:w="1329" w:type="dxa"/>
            <w:hideMark/>
          </w:tcPr>
          <w:p w14:paraId="528B4E71"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0,73 </w:t>
            </w:r>
          </w:p>
        </w:tc>
        <w:tc>
          <w:tcPr>
            <w:tcW w:w="1426" w:type="dxa"/>
            <w:hideMark/>
          </w:tcPr>
          <w:p w14:paraId="454D3392" w14:textId="77777777" w:rsidR="00DA1ED1" w:rsidRPr="00DA1ED1" w:rsidRDefault="00DA1ED1" w:rsidP="00DA1ED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DA1ED1">
              <w:rPr>
                <w:color w:val="000000"/>
                <w:sz w:val="22"/>
                <w:lang w:eastAsia="es-CO"/>
              </w:rPr>
              <w:t xml:space="preserve">            1,00 </w:t>
            </w:r>
          </w:p>
        </w:tc>
      </w:tr>
      <w:tr w:rsidR="00DA1ED1" w:rsidRPr="00DA1ED1" w14:paraId="3AE23D3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3364BB7" w14:textId="77777777" w:rsidR="00DA1ED1" w:rsidRPr="00DA1ED1" w:rsidRDefault="00DA1ED1" w:rsidP="00DA1ED1">
            <w:pPr>
              <w:spacing w:before="0" w:beforeAutospacing="0" w:after="0" w:afterAutospacing="0" w:line="240" w:lineRule="auto"/>
              <w:ind w:firstLine="0"/>
              <w:jc w:val="left"/>
              <w:rPr>
                <w:color w:val="000000"/>
                <w:sz w:val="22"/>
                <w:lang w:val="es-CO" w:eastAsia="es-CO"/>
              </w:rPr>
            </w:pPr>
            <w:r w:rsidRPr="00DA1ED1">
              <w:rPr>
                <w:color w:val="000000"/>
                <w:sz w:val="22"/>
                <w:lang w:eastAsia="es-CO"/>
              </w:rPr>
              <w:t>Sanesul</w:t>
            </w:r>
          </w:p>
        </w:tc>
        <w:tc>
          <w:tcPr>
            <w:tcW w:w="1426" w:type="dxa"/>
            <w:hideMark/>
          </w:tcPr>
          <w:p w14:paraId="25036E0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1,26 </w:t>
            </w:r>
          </w:p>
        </w:tc>
        <w:tc>
          <w:tcPr>
            <w:tcW w:w="1426" w:type="dxa"/>
            <w:hideMark/>
          </w:tcPr>
          <w:p w14:paraId="0FA074AF"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1,59 </w:t>
            </w:r>
          </w:p>
        </w:tc>
        <w:tc>
          <w:tcPr>
            <w:tcW w:w="1426" w:type="dxa"/>
            <w:hideMark/>
          </w:tcPr>
          <w:p w14:paraId="19A92043"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1,58 </w:t>
            </w:r>
          </w:p>
        </w:tc>
        <w:tc>
          <w:tcPr>
            <w:tcW w:w="1414" w:type="dxa"/>
            <w:hideMark/>
          </w:tcPr>
          <w:p w14:paraId="08477725"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1,64 </w:t>
            </w:r>
          </w:p>
        </w:tc>
        <w:tc>
          <w:tcPr>
            <w:tcW w:w="1329" w:type="dxa"/>
            <w:hideMark/>
          </w:tcPr>
          <w:p w14:paraId="38B280E3"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0,91 </w:t>
            </w:r>
          </w:p>
        </w:tc>
        <w:tc>
          <w:tcPr>
            <w:tcW w:w="1426" w:type="dxa"/>
            <w:hideMark/>
          </w:tcPr>
          <w:p w14:paraId="33075204" w14:textId="77777777" w:rsidR="00DA1ED1" w:rsidRPr="00DA1ED1" w:rsidRDefault="00DA1ED1" w:rsidP="00DA1ED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DA1ED1">
              <w:rPr>
                <w:color w:val="000000"/>
                <w:sz w:val="22"/>
                <w:lang w:eastAsia="es-CO"/>
              </w:rPr>
              <w:t xml:space="preserve">            1,12 </w:t>
            </w:r>
          </w:p>
        </w:tc>
      </w:tr>
    </w:tbl>
    <w:p w14:paraId="0F23B2D8" w14:textId="77777777" w:rsidR="00471FB7" w:rsidRPr="00042F25" w:rsidRDefault="00471FB7" w:rsidP="00471FB7">
      <w:pPr>
        <w:pStyle w:val="Descripcin"/>
        <w:spacing w:before="0" w:beforeAutospacing="0"/>
        <w:jc w:val="left"/>
        <w:rPr>
          <w:sz w:val="20"/>
        </w:rPr>
      </w:pPr>
      <w:r w:rsidRPr="00042F25">
        <w:rPr>
          <w:sz w:val="20"/>
        </w:rPr>
        <w:t>Fonte: SNIS 2015. Elaborado por: GO Associados</w:t>
      </w:r>
    </w:p>
    <w:p w14:paraId="59788DCA" w14:textId="77777777" w:rsidR="00F4306B" w:rsidRPr="00042F25" w:rsidRDefault="00F4306B" w:rsidP="00F4306B"/>
    <w:p w14:paraId="00E46E41" w14:textId="2FCD73B5" w:rsidR="00F4306B" w:rsidRPr="00042F25" w:rsidRDefault="00F4306B" w:rsidP="00C71C89">
      <w:pPr>
        <w:pStyle w:val="Ttulo2"/>
        <w:ind w:left="1427"/>
      </w:pPr>
      <w:bookmarkStart w:id="51" w:name="_Toc493094936"/>
      <w:r w:rsidRPr="00042F25">
        <w:lastRenderedPageBreak/>
        <w:t>Índice de grau de endividamento</w:t>
      </w:r>
      <w:bookmarkEnd w:id="51"/>
    </w:p>
    <w:p w14:paraId="56666E5B" w14:textId="1E834061" w:rsidR="00F4306B" w:rsidRPr="00042F25" w:rsidRDefault="00F4306B" w:rsidP="00F4306B">
      <w:r w:rsidRPr="00042F25">
        <w:t xml:space="preserve">O índice de </w:t>
      </w:r>
      <w:r w:rsidR="00131C73" w:rsidRPr="00042F25">
        <w:t>grau de endividamento (IN063</w:t>
      </w:r>
      <w:r w:rsidRPr="00042F25">
        <w:t>)</w:t>
      </w:r>
      <w:r w:rsidR="00131C73" w:rsidRPr="00042F25">
        <w:t xml:space="preserve"> </w:t>
      </w:r>
      <w:r w:rsidRPr="00042F25">
        <w:t xml:space="preserve">usa </w:t>
      </w:r>
      <w:r w:rsidR="00FA15CC" w:rsidRPr="00042F25">
        <w:t>o ativo total (BL</w:t>
      </w:r>
      <w:r w:rsidRPr="00042F25">
        <w:t>00</w:t>
      </w:r>
      <w:r w:rsidR="00FA15CC" w:rsidRPr="00042F25">
        <w:t>2</w:t>
      </w:r>
      <w:r w:rsidRPr="00042F25">
        <w:t xml:space="preserve">), </w:t>
      </w:r>
      <w:r w:rsidR="00FA15CC" w:rsidRPr="00042F25">
        <w:t xml:space="preserve">o exigível a longo prazo </w:t>
      </w:r>
      <w:r w:rsidRPr="00042F25">
        <w:t>(</w:t>
      </w:r>
      <w:r w:rsidR="00FA15CC" w:rsidRPr="00042F25">
        <w:t>BL</w:t>
      </w:r>
      <w:r w:rsidRPr="00042F25">
        <w:t>003)</w:t>
      </w:r>
      <w:r w:rsidR="00FA15CC" w:rsidRPr="00042F25">
        <w:t>, o passivo circulante (BL005)</w:t>
      </w:r>
      <w:r w:rsidRPr="00042F25">
        <w:t xml:space="preserve"> e </w:t>
      </w:r>
      <w:r w:rsidR="00FA15CC" w:rsidRPr="00042F25">
        <w:t xml:space="preserve">o resultado de exercícios futuros </w:t>
      </w:r>
      <w:r w:rsidRPr="00042F25">
        <w:t>(</w:t>
      </w:r>
      <w:r w:rsidR="00FA15CC" w:rsidRPr="00042F25">
        <w:t>BL</w:t>
      </w:r>
      <w:r w:rsidRPr="00042F25">
        <w:t>0</w:t>
      </w:r>
      <w:r w:rsidR="00FA15CC" w:rsidRPr="00042F25">
        <w:t>08</w:t>
      </w:r>
      <w:r w:rsidRPr="00042F25">
        <w:t xml:space="preserve">) para o seu cálculo: </w:t>
      </w:r>
    </w:p>
    <w:p w14:paraId="32A4827C" w14:textId="5375971B" w:rsidR="00F4306B" w:rsidRPr="00042F25" w:rsidRDefault="00F4306B" w:rsidP="00114CDA">
      <w:pPr>
        <w:jc w:val="center"/>
      </w:pPr>
      <m:oMathPara>
        <m:oMath>
          <m:r>
            <w:rPr>
              <w:rFonts w:ascii="Cambria Math" w:hAnsi="Cambria Math"/>
            </w:rPr>
            <m:t xml:space="preserve">IN063= </m:t>
          </m:r>
          <m:f>
            <m:fPr>
              <m:ctrlPr>
                <w:rPr>
                  <w:rFonts w:ascii="Cambria Math" w:hAnsi="Cambria Math"/>
                  <w:i/>
                </w:rPr>
              </m:ctrlPr>
            </m:fPr>
            <m:num>
              <m:r>
                <w:rPr>
                  <w:rFonts w:ascii="Cambria Math" w:hAnsi="Cambria Math"/>
                </w:rPr>
                <m:t>BL003+BL005+BL008</m:t>
              </m:r>
            </m:num>
            <m:den>
              <m:r>
                <w:rPr>
                  <w:rFonts w:ascii="Cambria Math" w:hAnsi="Cambria Math"/>
                </w:rPr>
                <m:t>BL002</m:t>
              </m:r>
            </m:den>
          </m:f>
        </m:oMath>
      </m:oMathPara>
    </w:p>
    <w:p w14:paraId="6C2EA3CA" w14:textId="2E1278A6" w:rsidR="00F4306B" w:rsidRPr="00042F25" w:rsidRDefault="00C93F24" w:rsidP="00F4306B">
      <w:r w:rsidRPr="00042F25">
        <w:t xml:space="preserve">Este índice indica a </w:t>
      </w:r>
      <w:r w:rsidR="00777E24" w:rsidRPr="00042F25">
        <w:t>dependência</w:t>
      </w:r>
      <w:r w:rsidRPr="00042F25">
        <w:t xml:space="preserve"> que o negócio tem de capital obtido com terceiros. </w:t>
      </w:r>
      <w:r w:rsidR="00F4306B" w:rsidRPr="00042F25">
        <w:t>A evolução deste índice de 2010 a 2015 nas Companhias E</w:t>
      </w:r>
      <w:r w:rsidR="006135D7" w:rsidRPr="00042F25">
        <w:t>staduais de Saneamento Básico mostra C</w:t>
      </w:r>
      <w:r w:rsidR="007B7960">
        <w:t>AERD</w:t>
      </w:r>
      <w:r w:rsidR="00AC35CD" w:rsidRPr="00042F25">
        <w:t xml:space="preserve"> e C</w:t>
      </w:r>
      <w:r w:rsidR="007B7960">
        <w:t>ASAL</w:t>
      </w:r>
      <w:r w:rsidR="00AC35CD" w:rsidRPr="00042F25">
        <w:t xml:space="preserve"> com valores acima de 2</w:t>
      </w:r>
      <w:r w:rsidR="007B7960">
        <w:t xml:space="preserve"> e média da amostra em 2015 de 0,79. </w:t>
      </w:r>
    </w:p>
    <w:p w14:paraId="66E64F94" w14:textId="372F1CAB" w:rsidR="00EB4F62" w:rsidRDefault="00EB4F62" w:rsidP="00EB4F62">
      <w:pPr>
        <w:pStyle w:val="Descripcin"/>
      </w:pPr>
      <w:bookmarkStart w:id="52" w:name="_Toc493222491"/>
      <w:r w:rsidRPr="00042F25">
        <w:t xml:space="preserve">Quadro </w:t>
      </w:r>
      <w:fldSimple w:instr=" SEQ Quadro \* ARABIC ">
        <w:r w:rsidR="00B64D1C" w:rsidRPr="00042F25">
          <w:rPr>
            <w:noProof/>
          </w:rPr>
          <w:t>28</w:t>
        </w:r>
      </w:fldSimple>
      <w:r w:rsidRPr="00042F25">
        <w:t xml:space="preserve"> – Índice de Grau de Endividamento (IN063)</w:t>
      </w:r>
      <w:bookmarkEnd w:id="52"/>
    </w:p>
    <w:tbl>
      <w:tblPr>
        <w:tblStyle w:val="Tabladecuadrcula4-nfasis11"/>
        <w:tblW w:w="9678" w:type="dxa"/>
        <w:jc w:val="center"/>
        <w:tblLook w:val="04A0" w:firstRow="1" w:lastRow="0" w:firstColumn="1" w:lastColumn="0" w:noHBand="0" w:noVBand="1"/>
      </w:tblPr>
      <w:tblGrid>
        <w:gridCol w:w="1231"/>
        <w:gridCol w:w="1426"/>
        <w:gridCol w:w="1426"/>
        <w:gridCol w:w="1426"/>
        <w:gridCol w:w="1414"/>
        <w:gridCol w:w="1329"/>
        <w:gridCol w:w="1426"/>
      </w:tblGrid>
      <w:tr w:rsidR="00F02E61" w:rsidRPr="00F02E61" w14:paraId="788C354C" w14:textId="77777777" w:rsidTr="00EA348F">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EDA4938" w14:textId="77777777" w:rsidR="00F02E61" w:rsidRPr="00F02E61" w:rsidRDefault="00F02E61" w:rsidP="00F02E61">
            <w:pPr>
              <w:spacing w:before="0" w:beforeAutospacing="0" w:after="0" w:afterAutospacing="0" w:line="240" w:lineRule="auto"/>
              <w:ind w:firstLine="0"/>
              <w:jc w:val="left"/>
              <w:rPr>
                <w:b w:val="0"/>
                <w:bCs w:val="0"/>
                <w:color w:val="FFFFFF"/>
                <w:sz w:val="22"/>
                <w:lang w:val="es-CO" w:eastAsia="es-CO"/>
              </w:rPr>
            </w:pPr>
            <w:r w:rsidRPr="00F02E61">
              <w:rPr>
                <w:b w:val="0"/>
                <w:bCs w:val="0"/>
                <w:color w:val="FFFFFF"/>
                <w:sz w:val="22"/>
                <w:lang w:eastAsia="es-CO"/>
              </w:rPr>
              <w:t>Empresa</w:t>
            </w:r>
          </w:p>
        </w:tc>
        <w:tc>
          <w:tcPr>
            <w:tcW w:w="1426" w:type="dxa"/>
            <w:hideMark/>
          </w:tcPr>
          <w:p w14:paraId="2737BA31"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2010</w:t>
            </w:r>
          </w:p>
        </w:tc>
        <w:tc>
          <w:tcPr>
            <w:tcW w:w="1426" w:type="dxa"/>
            <w:hideMark/>
          </w:tcPr>
          <w:p w14:paraId="1FEEC344"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2011</w:t>
            </w:r>
          </w:p>
        </w:tc>
        <w:tc>
          <w:tcPr>
            <w:tcW w:w="1426" w:type="dxa"/>
            <w:hideMark/>
          </w:tcPr>
          <w:p w14:paraId="25C5DCE6"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2012</w:t>
            </w:r>
          </w:p>
        </w:tc>
        <w:tc>
          <w:tcPr>
            <w:tcW w:w="1414" w:type="dxa"/>
            <w:hideMark/>
          </w:tcPr>
          <w:p w14:paraId="32B82B30"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2013</w:t>
            </w:r>
          </w:p>
        </w:tc>
        <w:tc>
          <w:tcPr>
            <w:tcW w:w="1329" w:type="dxa"/>
            <w:hideMark/>
          </w:tcPr>
          <w:p w14:paraId="5E5D9CCA"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2014</w:t>
            </w:r>
          </w:p>
        </w:tc>
        <w:tc>
          <w:tcPr>
            <w:tcW w:w="1426" w:type="dxa"/>
            <w:hideMark/>
          </w:tcPr>
          <w:p w14:paraId="4854CEBE" w14:textId="77777777" w:rsidR="00F02E61" w:rsidRPr="00F02E61" w:rsidRDefault="00F02E61" w:rsidP="00F02E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sz w:val="22"/>
                <w:lang w:val="es-CO" w:eastAsia="es-CO"/>
              </w:rPr>
            </w:pPr>
            <w:r w:rsidRPr="00F02E61">
              <w:rPr>
                <w:b w:val="0"/>
                <w:bCs w:val="0"/>
                <w:color w:val="FFFFFF"/>
                <w:sz w:val="22"/>
                <w:lang w:eastAsia="es-CO"/>
              </w:rPr>
              <w:t>2015</w:t>
            </w:r>
          </w:p>
        </w:tc>
      </w:tr>
      <w:tr w:rsidR="00F02E61" w:rsidRPr="00F02E61" w14:paraId="44BCF20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5E5A27D"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Agespisa</w:t>
            </w:r>
          </w:p>
        </w:tc>
        <w:tc>
          <w:tcPr>
            <w:tcW w:w="1426" w:type="dxa"/>
            <w:hideMark/>
          </w:tcPr>
          <w:p w14:paraId="4597753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1,16 </w:t>
            </w:r>
          </w:p>
        </w:tc>
        <w:tc>
          <w:tcPr>
            <w:tcW w:w="1426" w:type="dxa"/>
            <w:hideMark/>
          </w:tcPr>
          <w:p w14:paraId="5E79B19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1,18 </w:t>
            </w:r>
          </w:p>
        </w:tc>
        <w:tc>
          <w:tcPr>
            <w:tcW w:w="1426" w:type="dxa"/>
            <w:hideMark/>
          </w:tcPr>
          <w:p w14:paraId="7D9E3D6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1,19 </w:t>
            </w:r>
          </w:p>
        </w:tc>
        <w:tc>
          <w:tcPr>
            <w:tcW w:w="1414" w:type="dxa"/>
            <w:hideMark/>
          </w:tcPr>
          <w:p w14:paraId="3AA5781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1,16 </w:t>
            </w:r>
          </w:p>
        </w:tc>
        <w:tc>
          <w:tcPr>
            <w:tcW w:w="1329" w:type="dxa"/>
            <w:hideMark/>
          </w:tcPr>
          <w:p w14:paraId="78FC2F7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1,21 </w:t>
            </w:r>
          </w:p>
        </w:tc>
        <w:tc>
          <w:tcPr>
            <w:tcW w:w="1426" w:type="dxa"/>
            <w:hideMark/>
          </w:tcPr>
          <w:p w14:paraId="7DB5DBC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1,32 </w:t>
            </w:r>
          </w:p>
        </w:tc>
      </w:tr>
      <w:tr w:rsidR="00F02E61" w:rsidRPr="00F02E61" w14:paraId="68A7371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F9CD753"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Caema</w:t>
            </w:r>
          </w:p>
        </w:tc>
        <w:tc>
          <w:tcPr>
            <w:tcW w:w="1426" w:type="dxa"/>
            <w:hideMark/>
          </w:tcPr>
          <w:p w14:paraId="5EFD3F2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0,40 </w:t>
            </w:r>
          </w:p>
        </w:tc>
        <w:tc>
          <w:tcPr>
            <w:tcW w:w="1426" w:type="dxa"/>
            <w:hideMark/>
          </w:tcPr>
          <w:p w14:paraId="346C974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0,41 </w:t>
            </w:r>
          </w:p>
        </w:tc>
        <w:tc>
          <w:tcPr>
            <w:tcW w:w="1426" w:type="dxa"/>
            <w:hideMark/>
          </w:tcPr>
          <w:p w14:paraId="44F37B8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0,43 </w:t>
            </w:r>
          </w:p>
        </w:tc>
        <w:tc>
          <w:tcPr>
            <w:tcW w:w="1414" w:type="dxa"/>
            <w:hideMark/>
          </w:tcPr>
          <w:p w14:paraId="4BD66E2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0,41 </w:t>
            </w:r>
          </w:p>
        </w:tc>
        <w:tc>
          <w:tcPr>
            <w:tcW w:w="1329" w:type="dxa"/>
            <w:hideMark/>
          </w:tcPr>
          <w:p w14:paraId="7C4D1AB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3507006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0,63 </w:t>
            </w:r>
          </w:p>
        </w:tc>
      </w:tr>
      <w:tr w:rsidR="00F02E61" w:rsidRPr="00F02E61" w14:paraId="222F2F2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1FA99F1"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w:t>
            </w:r>
          </w:p>
        </w:tc>
        <w:tc>
          <w:tcPr>
            <w:tcW w:w="1426" w:type="dxa"/>
            <w:hideMark/>
          </w:tcPr>
          <w:p w14:paraId="35F0B22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1,04 </w:t>
            </w:r>
          </w:p>
        </w:tc>
        <w:tc>
          <w:tcPr>
            <w:tcW w:w="1426" w:type="dxa"/>
            <w:hideMark/>
          </w:tcPr>
          <w:p w14:paraId="6DEF68E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1,00 </w:t>
            </w:r>
          </w:p>
        </w:tc>
        <w:tc>
          <w:tcPr>
            <w:tcW w:w="1426" w:type="dxa"/>
            <w:hideMark/>
          </w:tcPr>
          <w:p w14:paraId="1497F42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1,16 </w:t>
            </w:r>
          </w:p>
        </w:tc>
        <w:tc>
          <w:tcPr>
            <w:tcW w:w="1414" w:type="dxa"/>
            <w:hideMark/>
          </w:tcPr>
          <w:p w14:paraId="247E69C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1,52 </w:t>
            </w:r>
          </w:p>
        </w:tc>
        <w:tc>
          <w:tcPr>
            <w:tcW w:w="1329" w:type="dxa"/>
            <w:hideMark/>
          </w:tcPr>
          <w:p w14:paraId="20AD3A4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2,07 </w:t>
            </w:r>
          </w:p>
        </w:tc>
        <w:tc>
          <w:tcPr>
            <w:tcW w:w="1426" w:type="dxa"/>
            <w:hideMark/>
          </w:tcPr>
          <w:p w14:paraId="30A0C19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2,43 </w:t>
            </w:r>
          </w:p>
        </w:tc>
      </w:tr>
      <w:tr w:rsidR="00F02E61" w:rsidRPr="00F02E61" w14:paraId="1EA12367"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7316DC0"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Caerd</w:t>
            </w:r>
          </w:p>
        </w:tc>
        <w:tc>
          <w:tcPr>
            <w:tcW w:w="1426" w:type="dxa"/>
            <w:hideMark/>
          </w:tcPr>
          <w:p w14:paraId="0E4C0C2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2,28 </w:t>
            </w:r>
          </w:p>
        </w:tc>
        <w:tc>
          <w:tcPr>
            <w:tcW w:w="1426" w:type="dxa"/>
            <w:hideMark/>
          </w:tcPr>
          <w:p w14:paraId="167B373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2,08 </w:t>
            </w:r>
          </w:p>
        </w:tc>
        <w:tc>
          <w:tcPr>
            <w:tcW w:w="1426" w:type="dxa"/>
            <w:hideMark/>
          </w:tcPr>
          <w:p w14:paraId="10022D4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2,54 </w:t>
            </w:r>
          </w:p>
        </w:tc>
        <w:tc>
          <w:tcPr>
            <w:tcW w:w="1414" w:type="dxa"/>
            <w:hideMark/>
          </w:tcPr>
          <w:p w14:paraId="3E8F864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2,72 </w:t>
            </w:r>
          </w:p>
        </w:tc>
        <w:tc>
          <w:tcPr>
            <w:tcW w:w="1329" w:type="dxa"/>
            <w:hideMark/>
          </w:tcPr>
          <w:p w14:paraId="2320612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2,51 </w:t>
            </w:r>
          </w:p>
        </w:tc>
        <w:tc>
          <w:tcPr>
            <w:tcW w:w="1426" w:type="dxa"/>
            <w:hideMark/>
          </w:tcPr>
          <w:p w14:paraId="2C3C414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2,71 </w:t>
            </w:r>
          </w:p>
        </w:tc>
      </w:tr>
      <w:tr w:rsidR="00F02E61" w:rsidRPr="00F02E61" w14:paraId="229C3AA8"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6D7DB6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Caern</w:t>
            </w:r>
          </w:p>
        </w:tc>
        <w:tc>
          <w:tcPr>
            <w:tcW w:w="1426" w:type="dxa"/>
            <w:hideMark/>
          </w:tcPr>
          <w:p w14:paraId="4208754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0,42 </w:t>
            </w:r>
          </w:p>
        </w:tc>
        <w:tc>
          <w:tcPr>
            <w:tcW w:w="1426" w:type="dxa"/>
            <w:hideMark/>
          </w:tcPr>
          <w:p w14:paraId="5987F87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0,30 </w:t>
            </w:r>
          </w:p>
        </w:tc>
        <w:tc>
          <w:tcPr>
            <w:tcW w:w="1426" w:type="dxa"/>
            <w:hideMark/>
          </w:tcPr>
          <w:p w14:paraId="5054A92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0,27 </w:t>
            </w:r>
          </w:p>
        </w:tc>
        <w:tc>
          <w:tcPr>
            <w:tcW w:w="1414" w:type="dxa"/>
            <w:hideMark/>
          </w:tcPr>
          <w:p w14:paraId="5AE9290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0,24 </w:t>
            </w:r>
          </w:p>
        </w:tc>
        <w:tc>
          <w:tcPr>
            <w:tcW w:w="1329" w:type="dxa"/>
            <w:hideMark/>
          </w:tcPr>
          <w:p w14:paraId="3DD8142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0,31 </w:t>
            </w:r>
          </w:p>
        </w:tc>
        <w:tc>
          <w:tcPr>
            <w:tcW w:w="1426" w:type="dxa"/>
            <w:hideMark/>
          </w:tcPr>
          <w:p w14:paraId="258962B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0,36 </w:t>
            </w:r>
          </w:p>
        </w:tc>
      </w:tr>
      <w:tr w:rsidR="00F02E61" w:rsidRPr="00F02E61" w14:paraId="1026550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E82F966"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Caesa</w:t>
            </w:r>
          </w:p>
        </w:tc>
        <w:tc>
          <w:tcPr>
            <w:tcW w:w="1426" w:type="dxa"/>
            <w:hideMark/>
          </w:tcPr>
          <w:p w14:paraId="61A6AB0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0,98 </w:t>
            </w:r>
          </w:p>
        </w:tc>
        <w:tc>
          <w:tcPr>
            <w:tcW w:w="1426" w:type="dxa"/>
            <w:hideMark/>
          </w:tcPr>
          <w:p w14:paraId="51FAFCE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1,10 </w:t>
            </w:r>
          </w:p>
        </w:tc>
        <w:tc>
          <w:tcPr>
            <w:tcW w:w="1426" w:type="dxa"/>
            <w:hideMark/>
          </w:tcPr>
          <w:p w14:paraId="24C45AC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1,59 </w:t>
            </w:r>
          </w:p>
        </w:tc>
        <w:tc>
          <w:tcPr>
            <w:tcW w:w="1414" w:type="dxa"/>
            <w:hideMark/>
          </w:tcPr>
          <w:p w14:paraId="1BDBFEC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0,44 </w:t>
            </w:r>
          </w:p>
        </w:tc>
        <w:tc>
          <w:tcPr>
            <w:tcW w:w="1329" w:type="dxa"/>
            <w:hideMark/>
          </w:tcPr>
          <w:p w14:paraId="61C9FAB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1,78 </w:t>
            </w:r>
          </w:p>
        </w:tc>
        <w:tc>
          <w:tcPr>
            <w:tcW w:w="1426" w:type="dxa"/>
            <w:hideMark/>
          </w:tcPr>
          <w:p w14:paraId="1CA5652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1,98 </w:t>
            </w:r>
          </w:p>
        </w:tc>
      </w:tr>
      <w:tr w:rsidR="00F02E61" w:rsidRPr="00F02E61" w14:paraId="45D82640"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9978D96"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Caesb</w:t>
            </w:r>
          </w:p>
        </w:tc>
        <w:tc>
          <w:tcPr>
            <w:tcW w:w="1426" w:type="dxa"/>
            <w:hideMark/>
          </w:tcPr>
          <w:p w14:paraId="361F69E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0,64 </w:t>
            </w:r>
          </w:p>
        </w:tc>
        <w:tc>
          <w:tcPr>
            <w:tcW w:w="1426" w:type="dxa"/>
            <w:hideMark/>
          </w:tcPr>
          <w:p w14:paraId="6E2E24B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0,54 </w:t>
            </w:r>
          </w:p>
        </w:tc>
        <w:tc>
          <w:tcPr>
            <w:tcW w:w="1426" w:type="dxa"/>
            <w:hideMark/>
          </w:tcPr>
          <w:p w14:paraId="7B439F5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0,53 </w:t>
            </w:r>
          </w:p>
        </w:tc>
        <w:tc>
          <w:tcPr>
            <w:tcW w:w="1414" w:type="dxa"/>
            <w:hideMark/>
          </w:tcPr>
          <w:p w14:paraId="6C44365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0,52 </w:t>
            </w:r>
          </w:p>
        </w:tc>
        <w:tc>
          <w:tcPr>
            <w:tcW w:w="1329" w:type="dxa"/>
            <w:hideMark/>
          </w:tcPr>
          <w:p w14:paraId="0FE5F6A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0,54 </w:t>
            </w:r>
          </w:p>
        </w:tc>
        <w:tc>
          <w:tcPr>
            <w:tcW w:w="1426" w:type="dxa"/>
            <w:hideMark/>
          </w:tcPr>
          <w:p w14:paraId="043379E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0,56 </w:t>
            </w:r>
          </w:p>
        </w:tc>
      </w:tr>
      <w:tr w:rsidR="00F02E61" w:rsidRPr="00F02E61" w14:paraId="36E42AAD"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04039D9"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Cagece</w:t>
            </w:r>
          </w:p>
        </w:tc>
        <w:tc>
          <w:tcPr>
            <w:tcW w:w="1426" w:type="dxa"/>
            <w:hideMark/>
          </w:tcPr>
          <w:p w14:paraId="0AF7F01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0,39 </w:t>
            </w:r>
          </w:p>
        </w:tc>
        <w:tc>
          <w:tcPr>
            <w:tcW w:w="1426" w:type="dxa"/>
            <w:hideMark/>
          </w:tcPr>
          <w:p w14:paraId="64C21C9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0,43 </w:t>
            </w:r>
          </w:p>
        </w:tc>
        <w:tc>
          <w:tcPr>
            <w:tcW w:w="1426" w:type="dxa"/>
            <w:hideMark/>
          </w:tcPr>
          <w:p w14:paraId="05CF80D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0,44 </w:t>
            </w:r>
          </w:p>
        </w:tc>
        <w:tc>
          <w:tcPr>
            <w:tcW w:w="1414" w:type="dxa"/>
            <w:hideMark/>
          </w:tcPr>
          <w:p w14:paraId="048F2DA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0,36 </w:t>
            </w:r>
          </w:p>
        </w:tc>
        <w:tc>
          <w:tcPr>
            <w:tcW w:w="1329" w:type="dxa"/>
            <w:hideMark/>
          </w:tcPr>
          <w:p w14:paraId="03D6F5D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0,35 </w:t>
            </w:r>
          </w:p>
        </w:tc>
        <w:tc>
          <w:tcPr>
            <w:tcW w:w="1426" w:type="dxa"/>
            <w:hideMark/>
          </w:tcPr>
          <w:p w14:paraId="68A256A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0,39 </w:t>
            </w:r>
          </w:p>
        </w:tc>
      </w:tr>
      <w:tr w:rsidR="00F02E61" w:rsidRPr="00F02E61" w14:paraId="0891529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6A46040A"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Cagepa</w:t>
            </w:r>
          </w:p>
        </w:tc>
        <w:tc>
          <w:tcPr>
            <w:tcW w:w="1426" w:type="dxa"/>
            <w:hideMark/>
          </w:tcPr>
          <w:p w14:paraId="1B15E1A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0,39 </w:t>
            </w:r>
          </w:p>
        </w:tc>
        <w:tc>
          <w:tcPr>
            <w:tcW w:w="1426" w:type="dxa"/>
            <w:hideMark/>
          </w:tcPr>
          <w:p w14:paraId="317DA9D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0,48 </w:t>
            </w:r>
          </w:p>
        </w:tc>
        <w:tc>
          <w:tcPr>
            <w:tcW w:w="1426" w:type="dxa"/>
            <w:hideMark/>
          </w:tcPr>
          <w:p w14:paraId="3CE97A7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0,46 </w:t>
            </w:r>
          </w:p>
        </w:tc>
        <w:tc>
          <w:tcPr>
            <w:tcW w:w="1414" w:type="dxa"/>
            <w:hideMark/>
          </w:tcPr>
          <w:p w14:paraId="640C0D8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0,44 </w:t>
            </w:r>
          </w:p>
        </w:tc>
        <w:tc>
          <w:tcPr>
            <w:tcW w:w="1329" w:type="dxa"/>
            <w:hideMark/>
          </w:tcPr>
          <w:p w14:paraId="3D6F0BB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0,44 </w:t>
            </w:r>
          </w:p>
        </w:tc>
        <w:tc>
          <w:tcPr>
            <w:tcW w:w="1426" w:type="dxa"/>
            <w:hideMark/>
          </w:tcPr>
          <w:p w14:paraId="682257D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0,47 </w:t>
            </w:r>
          </w:p>
        </w:tc>
      </w:tr>
      <w:tr w:rsidR="00F02E61" w:rsidRPr="00F02E61" w14:paraId="3B6A6B9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A1B13A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Casal</w:t>
            </w:r>
          </w:p>
        </w:tc>
        <w:tc>
          <w:tcPr>
            <w:tcW w:w="1426" w:type="dxa"/>
            <w:hideMark/>
          </w:tcPr>
          <w:p w14:paraId="0BCD8D2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2,63 </w:t>
            </w:r>
          </w:p>
        </w:tc>
        <w:tc>
          <w:tcPr>
            <w:tcW w:w="1426" w:type="dxa"/>
            <w:hideMark/>
          </w:tcPr>
          <w:p w14:paraId="67AC5CA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2,58 </w:t>
            </w:r>
          </w:p>
        </w:tc>
        <w:tc>
          <w:tcPr>
            <w:tcW w:w="1426" w:type="dxa"/>
            <w:hideMark/>
          </w:tcPr>
          <w:p w14:paraId="5A6AF31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2,79 </w:t>
            </w:r>
          </w:p>
        </w:tc>
        <w:tc>
          <w:tcPr>
            <w:tcW w:w="1414" w:type="dxa"/>
            <w:hideMark/>
          </w:tcPr>
          <w:p w14:paraId="53FDA32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2,85 </w:t>
            </w:r>
          </w:p>
        </w:tc>
        <w:tc>
          <w:tcPr>
            <w:tcW w:w="1329" w:type="dxa"/>
            <w:hideMark/>
          </w:tcPr>
          <w:p w14:paraId="446A216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2,92 </w:t>
            </w:r>
          </w:p>
        </w:tc>
        <w:tc>
          <w:tcPr>
            <w:tcW w:w="1426" w:type="dxa"/>
            <w:hideMark/>
          </w:tcPr>
          <w:p w14:paraId="368F883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2,62 </w:t>
            </w:r>
          </w:p>
        </w:tc>
      </w:tr>
      <w:tr w:rsidR="00F02E61" w:rsidRPr="00F02E61" w14:paraId="31DD14A2"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CAF75F8"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Casan</w:t>
            </w:r>
          </w:p>
        </w:tc>
        <w:tc>
          <w:tcPr>
            <w:tcW w:w="1426" w:type="dxa"/>
            <w:hideMark/>
          </w:tcPr>
          <w:p w14:paraId="724DA8A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0,42 </w:t>
            </w:r>
          </w:p>
        </w:tc>
        <w:tc>
          <w:tcPr>
            <w:tcW w:w="1426" w:type="dxa"/>
            <w:hideMark/>
          </w:tcPr>
          <w:p w14:paraId="284CB8CF"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0,45 </w:t>
            </w:r>
          </w:p>
        </w:tc>
        <w:tc>
          <w:tcPr>
            <w:tcW w:w="1426" w:type="dxa"/>
            <w:hideMark/>
          </w:tcPr>
          <w:p w14:paraId="225AAD7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0,46 </w:t>
            </w:r>
          </w:p>
        </w:tc>
        <w:tc>
          <w:tcPr>
            <w:tcW w:w="1414" w:type="dxa"/>
            <w:hideMark/>
          </w:tcPr>
          <w:p w14:paraId="0BBCDCD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0,48 </w:t>
            </w:r>
          </w:p>
        </w:tc>
        <w:tc>
          <w:tcPr>
            <w:tcW w:w="1329" w:type="dxa"/>
            <w:hideMark/>
          </w:tcPr>
          <w:p w14:paraId="6771B3B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0,48 </w:t>
            </w:r>
          </w:p>
        </w:tc>
        <w:tc>
          <w:tcPr>
            <w:tcW w:w="1426" w:type="dxa"/>
            <w:hideMark/>
          </w:tcPr>
          <w:p w14:paraId="100884D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0,53 </w:t>
            </w:r>
          </w:p>
        </w:tc>
      </w:tr>
      <w:tr w:rsidR="00F02E61" w:rsidRPr="00F02E61" w14:paraId="4D51A1F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096D4D3E"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Cedae</w:t>
            </w:r>
          </w:p>
        </w:tc>
        <w:tc>
          <w:tcPr>
            <w:tcW w:w="1426" w:type="dxa"/>
            <w:hideMark/>
          </w:tcPr>
          <w:p w14:paraId="4138F47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0,73 </w:t>
            </w:r>
          </w:p>
        </w:tc>
        <w:tc>
          <w:tcPr>
            <w:tcW w:w="1426" w:type="dxa"/>
            <w:hideMark/>
          </w:tcPr>
          <w:p w14:paraId="4106D11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0,71 </w:t>
            </w:r>
          </w:p>
        </w:tc>
        <w:tc>
          <w:tcPr>
            <w:tcW w:w="1426" w:type="dxa"/>
            <w:hideMark/>
          </w:tcPr>
          <w:p w14:paraId="3D8F6B9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0,64 </w:t>
            </w:r>
          </w:p>
        </w:tc>
        <w:tc>
          <w:tcPr>
            <w:tcW w:w="1414" w:type="dxa"/>
            <w:hideMark/>
          </w:tcPr>
          <w:p w14:paraId="421F67B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0,61 </w:t>
            </w:r>
          </w:p>
        </w:tc>
        <w:tc>
          <w:tcPr>
            <w:tcW w:w="1329" w:type="dxa"/>
            <w:hideMark/>
          </w:tcPr>
          <w:p w14:paraId="49DA5B27"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58E7BD2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0,57 </w:t>
            </w:r>
          </w:p>
        </w:tc>
      </w:tr>
      <w:tr w:rsidR="00F02E61" w:rsidRPr="00F02E61" w14:paraId="0EF964F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FC0790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Cesan</w:t>
            </w:r>
          </w:p>
        </w:tc>
        <w:tc>
          <w:tcPr>
            <w:tcW w:w="1426" w:type="dxa"/>
            <w:hideMark/>
          </w:tcPr>
          <w:p w14:paraId="25EF964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0,42 </w:t>
            </w:r>
          </w:p>
        </w:tc>
        <w:tc>
          <w:tcPr>
            <w:tcW w:w="1426" w:type="dxa"/>
            <w:hideMark/>
          </w:tcPr>
          <w:p w14:paraId="7365C78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0,39 </w:t>
            </w:r>
          </w:p>
        </w:tc>
        <w:tc>
          <w:tcPr>
            <w:tcW w:w="1426" w:type="dxa"/>
            <w:hideMark/>
          </w:tcPr>
          <w:p w14:paraId="22A3C7A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0,37 </w:t>
            </w:r>
          </w:p>
        </w:tc>
        <w:tc>
          <w:tcPr>
            <w:tcW w:w="1414" w:type="dxa"/>
            <w:hideMark/>
          </w:tcPr>
          <w:p w14:paraId="002E39A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0,30 </w:t>
            </w:r>
          </w:p>
        </w:tc>
        <w:tc>
          <w:tcPr>
            <w:tcW w:w="1329" w:type="dxa"/>
            <w:hideMark/>
          </w:tcPr>
          <w:p w14:paraId="08660D5E"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0,21 </w:t>
            </w:r>
          </w:p>
        </w:tc>
        <w:tc>
          <w:tcPr>
            <w:tcW w:w="1426" w:type="dxa"/>
            <w:hideMark/>
          </w:tcPr>
          <w:p w14:paraId="4E1B78E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0,19 </w:t>
            </w:r>
          </w:p>
        </w:tc>
      </w:tr>
      <w:tr w:rsidR="00F02E61" w:rsidRPr="00F02E61" w14:paraId="6379F9F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10A401E0"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Compesa</w:t>
            </w:r>
          </w:p>
        </w:tc>
        <w:tc>
          <w:tcPr>
            <w:tcW w:w="1426" w:type="dxa"/>
            <w:hideMark/>
          </w:tcPr>
          <w:p w14:paraId="7EE8982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0,16 </w:t>
            </w:r>
          </w:p>
        </w:tc>
        <w:tc>
          <w:tcPr>
            <w:tcW w:w="1426" w:type="dxa"/>
            <w:hideMark/>
          </w:tcPr>
          <w:p w14:paraId="3C232A8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0,15 </w:t>
            </w:r>
          </w:p>
        </w:tc>
        <w:tc>
          <w:tcPr>
            <w:tcW w:w="1426" w:type="dxa"/>
            <w:hideMark/>
          </w:tcPr>
          <w:p w14:paraId="2C24373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0,18 </w:t>
            </w:r>
          </w:p>
        </w:tc>
        <w:tc>
          <w:tcPr>
            <w:tcW w:w="1414" w:type="dxa"/>
            <w:hideMark/>
          </w:tcPr>
          <w:p w14:paraId="04672A9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0,21 </w:t>
            </w:r>
          </w:p>
        </w:tc>
        <w:tc>
          <w:tcPr>
            <w:tcW w:w="1329" w:type="dxa"/>
            <w:hideMark/>
          </w:tcPr>
          <w:p w14:paraId="04D90AF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0,24 </w:t>
            </w:r>
          </w:p>
        </w:tc>
        <w:tc>
          <w:tcPr>
            <w:tcW w:w="1426" w:type="dxa"/>
            <w:hideMark/>
          </w:tcPr>
          <w:p w14:paraId="15867D1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0,25 </w:t>
            </w:r>
          </w:p>
        </w:tc>
      </w:tr>
      <w:tr w:rsidR="00F02E61" w:rsidRPr="00F02E61" w14:paraId="1B6C6B93"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977DA1D"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Copasa</w:t>
            </w:r>
          </w:p>
        </w:tc>
        <w:tc>
          <w:tcPr>
            <w:tcW w:w="1426" w:type="dxa"/>
            <w:hideMark/>
          </w:tcPr>
          <w:p w14:paraId="65F772C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0,44 </w:t>
            </w:r>
          </w:p>
        </w:tc>
        <w:tc>
          <w:tcPr>
            <w:tcW w:w="1426" w:type="dxa"/>
            <w:hideMark/>
          </w:tcPr>
          <w:p w14:paraId="60FA6FB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0,47 </w:t>
            </w:r>
          </w:p>
        </w:tc>
        <w:tc>
          <w:tcPr>
            <w:tcW w:w="1426" w:type="dxa"/>
            <w:hideMark/>
          </w:tcPr>
          <w:p w14:paraId="029CA74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0,47 </w:t>
            </w:r>
          </w:p>
        </w:tc>
        <w:tc>
          <w:tcPr>
            <w:tcW w:w="1414" w:type="dxa"/>
            <w:hideMark/>
          </w:tcPr>
          <w:p w14:paraId="4EC9586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0,46 </w:t>
            </w:r>
          </w:p>
        </w:tc>
        <w:tc>
          <w:tcPr>
            <w:tcW w:w="1329" w:type="dxa"/>
            <w:hideMark/>
          </w:tcPr>
          <w:p w14:paraId="1D5167ED"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0,47 </w:t>
            </w:r>
          </w:p>
        </w:tc>
        <w:tc>
          <w:tcPr>
            <w:tcW w:w="1426" w:type="dxa"/>
            <w:hideMark/>
          </w:tcPr>
          <w:p w14:paraId="570CA6E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0,50 </w:t>
            </w:r>
          </w:p>
        </w:tc>
      </w:tr>
      <w:tr w:rsidR="00F02E61" w:rsidRPr="00F02E61" w14:paraId="63779BC9"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967B6F4"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Corsan</w:t>
            </w:r>
          </w:p>
        </w:tc>
        <w:tc>
          <w:tcPr>
            <w:tcW w:w="1426" w:type="dxa"/>
            <w:hideMark/>
          </w:tcPr>
          <w:p w14:paraId="0AE26C3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0,72 </w:t>
            </w:r>
          </w:p>
        </w:tc>
        <w:tc>
          <w:tcPr>
            <w:tcW w:w="1426" w:type="dxa"/>
            <w:hideMark/>
          </w:tcPr>
          <w:p w14:paraId="2B5EF91D"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758793AA"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0,57 </w:t>
            </w:r>
          </w:p>
        </w:tc>
        <w:tc>
          <w:tcPr>
            <w:tcW w:w="1414" w:type="dxa"/>
            <w:hideMark/>
          </w:tcPr>
          <w:p w14:paraId="6D38E18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0,66 </w:t>
            </w:r>
          </w:p>
        </w:tc>
        <w:tc>
          <w:tcPr>
            <w:tcW w:w="1329" w:type="dxa"/>
            <w:hideMark/>
          </w:tcPr>
          <w:p w14:paraId="3A320E1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0,65 </w:t>
            </w:r>
          </w:p>
        </w:tc>
        <w:tc>
          <w:tcPr>
            <w:tcW w:w="1426" w:type="dxa"/>
            <w:hideMark/>
          </w:tcPr>
          <w:p w14:paraId="2D52FB1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0,57 </w:t>
            </w:r>
          </w:p>
        </w:tc>
      </w:tr>
      <w:tr w:rsidR="00F02E61" w:rsidRPr="00F02E61" w14:paraId="145DE90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EA06693"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Cosanpa</w:t>
            </w:r>
          </w:p>
        </w:tc>
        <w:tc>
          <w:tcPr>
            <w:tcW w:w="1426" w:type="dxa"/>
            <w:hideMark/>
          </w:tcPr>
          <w:p w14:paraId="6A8C1F9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0,50 </w:t>
            </w:r>
          </w:p>
        </w:tc>
        <w:tc>
          <w:tcPr>
            <w:tcW w:w="1426" w:type="dxa"/>
            <w:hideMark/>
          </w:tcPr>
          <w:p w14:paraId="1CA3FBC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59FEF60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0,51 </w:t>
            </w:r>
          </w:p>
        </w:tc>
        <w:tc>
          <w:tcPr>
            <w:tcW w:w="1414" w:type="dxa"/>
            <w:hideMark/>
          </w:tcPr>
          <w:p w14:paraId="25316A9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0,33 </w:t>
            </w:r>
          </w:p>
        </w:tc>
        <w:tc>
          <w:tcPr>
            <w:tcW w:w="1329" w:type="dxa"/>
            <w:hideMark/>
          </w:tcPr>
          <w:p w14:paraId="73D3335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0,37 </w:t>
            </w:r>
          </w:p>
        </w:tc>
        <w:tc>
          <w:tcPr>
            <w:tcW w:w="1426" w:type="dxa"/>
            <w:hideMark/>
          </w:tcPr>
          <w:p w14:paraId="08648C1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0,44 </w:t>
            </w:r>
          </w:p>
        </w:tc>
      </w:tr>
      <w:tr w:rsidR="00F02E61" w:rsidRPr="00F02E61" w14:paraId="27F62B3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1C07EC3"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Depasa</w:t>
            </w:r>
          </w:p>
        </w:tc>
        <w:tc>
          <w:tcPr>
            <w:tcW w:w="1426" w:type="dxa"/>
            <w:hideMark/>
          </w:tcPr>
          <w:p w14:paraId="00CBEFE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   </w:t>
            </w:r>
          </w:p>
        </w:tc>
        <w:tc>
          <w:tcPr>
            <w:tcW w:w="1426" w:type="dxa"/>
            <w:hideMark/>
          </w:tcPr>
          <w:p w14:paraId="2ABF74DE"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   </w:t>
            </w:r>
          </w:p>
        </w:tc>
        <w:tc>
          <w:tcPr>
            <w:tcW w:w="1426" w:type="dxa"/>
            <w:hideMark/>
          </w:tcPr>
          <w:p w14:paraId="0DF33D7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   </w:t>
            </w:r>
          </w:p>
        </w:tc>
        <w:tc>
          <w:tcPr>
            <w:tcW w:w="1414" w:type="dxa"/>
            <w:hideMark/>
          </w:tcPr>
          <w:p w14:paraId="4789FB40"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   </w:t>
            </w:r>
          </w:p>
        </w:tc>
        <w:tc>
          <w:tcPr>
            <w:tcW w:w="1329" w:type="dxa"/>
            <w:hideMark/>
          </w:tcPr>
          <w:p w14:paraId="13788F7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   </w:t>
            </w:r>
          </w:p>
        </w:tc>
        <w:tc>
          <w:tcPr>
            <w:tcW w:w="1426" w:type="dxa"/>
            <w:hideMark/>
          </w:tcPr>
          <w:p w14:paraId="1325B0A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   </w:t>
            </w:r>
          </w:p>
        </w:tc>
      </w:tr>
      <w:tr w:rsidR="00F02E61" w:rsidRPr="00F02E61" w14:paraId="0C74FA37"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29E4BA31"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Deso</w:t>
            </w:r>
          </w:p>
        </w:tc>
        <w:tc>
          <w:tcPr>
            <w:tcW w:w="1426" w:type="dxa"/>
            <w:hideMark/>
          </w:tcPr>
          <w:p w14:paraId="46C7C22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0,19 </w:t>
            </w:r>
          </w:p>
        </w:tc>
        <w:tc>
          <w:tcPr>
            <w:tcW w:w="1426" w:type="dxa"/>
            <w:hideMark/>
          </w:tcPr>
          <w:p w14:paraId="786FBED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0,20 </w:t>
            </w:r>
          </w:p>
        </w:tc>
        <w:tc>
          <w:tcPr>
            <w:tcW w:w="1426" w:type="dxa"/>
            <w:hideMark/>
          </w:tcPr>
          <w:p w14:paraId="71F8F6D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0,20 </w:t>
            </w:r>
          </w:p>
        </w:tc>
        <w:tc>
          <w:tcPr>
            <w:tcW w:w="1414" w:type="dxa"/>
            <w:hideMark/>
          </w:tcPr>
          <w:p w14:paraId="7721E9D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0,21 </w:t>
            </w:r>
          </w:p>
        </w:tc>
        <w:tc>
          <w:tcPr>
            <w:tcW w:w="1329" w:type="dxa"/>
            <w:hideMark/>
          </w:tcPr>
          <w:p w14:paraId="6B141027"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0,19 </w:t>
            </w:r>
          </w:p>
        </w:tc>
        <w:tc>
          <w:tcPr>
            <w:tcW w:w="1426" w:type="dxa"/>
            <w:hideMark/>
          </w:tcPr>
          <w:p w14:paraId="7BBC9389"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0,17 </w:t>
            </w:r>
          </w:p>
        </w:tc>
      </w:tr>
      <w:tr w:rsidR="00F02E61" w:rsidRPr="00F02E61" w14:paraId="2F2583E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7EAFC4CD"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Embasa</w:t>
            </w:r>
          </w:p>
        </w:tc>
        <w:tc>
          <w:tcPr>
            <w:tcW w:w="1426" w:type="dxa"/>
            <w:hideMark/>
          </w:tcPr>
          <w:p w14:paraId="381DEED9"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0,23 </w:t>
            </w:r>
          </w:p>
        </w:tc>
        <w:tc>
          <w:tcPr>
            <w:tcW w:w="1426" w:type="dxa"/>
            <w:hideMark/>
          </w:tcPr>
          <w:p w14:paraId="6F60D6C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0,27 </w:t>
            </w:r>
          </w:p>
        </w:tc>
        <w:tc>
          <w:tcPr>
            <w:tcW w:w="1426" w:type="dxa"/>
            <w:hideMark/>
          </w:tcPr>
          <w:p w14:paraId="711C188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0,27 </w:t>
            </w:r>
          </w:p>
        </w:tc>
        <w:tc>
          <w:tcPr>
            <w:tcW w:w="1414" w:type="dxa"/>
            <w:hideMark/>
          </w:tcPr>
          <w:p w14:paraId="5DE6190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0,29 </w:t>
            </w:r>
          </w:p>
        </w:tc>
        <w:tc>
          <w:tcPr>
            <w:tcW w:w="1329" w:type="dxa"/>
            <w:hideMark/>
          </w:tcPr>
          <w:p w14:paraId="5F5A487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0,31 </w:t>
            </w:r>
          </w:p>
        </w:tc>
        <w:tc>
          <w:tcPr>
            <w:tcW w:w="1426" w:type="dxa"/>
            <w:hideMark/>
          </w:tcPr>
          <w:p w14:paraId="259A651B"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0,31 </w:t>
            </w:r>
          </w:p>
        </w:tc>
      </w:tr>
      <w:tr w:rsidR="00F02E61" w:rsidRPr="00F02E61" w14:paraId="7ACB093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D42904F"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Sabesp</w:t>
            </w:r>
          </w:p>
        </w:tc>
        <w:tc>
          <w:tcPr>
            <w:tcW w:w="1426" w:type="dxa"/>
            <w:hideMark/>
          </w:tcPr>
          <w:p w14:paraId="0DA6FA8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59E68A26"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0,58 </w:t>
            </w:r>
          </w:p>
        </w:tc>
        <w:tc>
          <w:tcPr>
            <w:tcW w:w="1426" w:type="dxa"/>
            <w:hideMark/>
          </w:tcPr>
          <w:p w14:paraId="7C4EC3F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0,56 </w:t>
            </w:r>
          </w:p>
        </w:tc>
        <w:tc>
          <w:tcPr>
            <w:tcW w:w="1414" w:type="dxa"/>
            <w:hideMark/>
          </w:tcPr>
          <w:p w14:paraId="74C0FE1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0,54 </w:t>
            </w:r>
          </w:p>
        </w:tc>
        <w:tc>
          <w:tcPr>
            <w:tcW w:w="1329" w:type="dxa"/>
            <w:hideMark/>
          </w:tcPr>
          <w:p w14:paraId="2ADFF7D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0,56 </w:t>
            </w:r>
          </w:p>
        </w:tc>
        <w:tc>
          <w:tcPr>
            <w:tcW w:w="1426" w:type="dxa"/>
            <w:hideMark/>
          </w:tcPr>
          <w:p w14:paraId="6D33E45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r>
      <w:tr w:rsidR="00F02E61" w:rsidRPr="00F02E61" w14:paraId="6D14652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A2E2EEB"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Saneago</w:t>
            </w:r>
          </w:p>
        </w:tc>
        <w:tc>
          <w:tcPr>
            <w:tcW w:w="1426" w:type="dxa"/>
            <w:hideMark/>
          </w:tcPr>
          <w:p w14:paraId="38CACB68"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0,30 </w:t>
            </w:r>
          </w:p>
        </w:tc>
        <w:tc>
          <w:tcPr>
            <w:tcW w:w="1426" w:type="dxa"/>
            <w:hideMark/>
          </w:tcPr>
          <w:p w14:paraId="56EA2D0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0,34 </w:t>
            </w:r>
          </w:p>
        </w:tc>
        <w:tc>
          <w:tcPr>
            <w:tcW w:w="1426" w:type="dxa"/>
            <w:hideMark/>
          </w:tcPr>
          <w:p w14:paraId="70CEFE26"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0,38 </w:t>
            </w:r>
          </w:p>
        </w:tc>
        <w:tc>
          <w:tcPr>
            <w:tcW w:w="1414" w:type="dxa"/>
            <w:hideMark/>
          </w:tcPr>
          <w:p w14:paraId="4FF8DB0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0,13 </w:t>
            </w:r>
          </w:p>
        </w:tc>
        <w:tc>
          <w:tcPr>
            <w:tcW w:w="1329" w:type="dxa"/>
            <w:hideMark/>
          </w:tcPr>
          <w:p w14:paraId="18F6C873"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0,41 </w:t>
            </w:r>
          </w:p>
        </w:tc>
        <w:tc>
          <w:tcPr>
            <w:tcW w:w="1426" w:type="dxa"/>
            <w:hideMark/>
          </w:tcPr>
          <w:p w14:paraId="4E74ACC2"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0,48 </w:t>
            </w:r>
          </w:p>
        </w:tc>
      </w:tr>
      <w:tr w:rsidR="00F02E61" w:rsidRPr="00F02E61" w14:paraId="53D2E3CD"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427A0288"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val="es-CO" w:eastAsia="es-CO"/>
              </w:rPr>
              <w:t>Saneatins</w:t>
            </w:r>
          </w:p>
        </w:tc>
        <w:tc>
          <w:tcPr>
            <w:tcW w:w="1426" w:type="dxa"/>
            <w:hideMark/>
          </w:tcPr>
          <w:p w14:paraId="5DBFE21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0,33 </w:t>
            </w:r>
          </w:p>
        </w:tc>
        <w:tc>
          <w:tcPr>
            <w:tcW w:w="1426" w:type="dxa"/>
            <w:hideMark/>
          </w:tcPr>
          <w:p w14:paraId="255064AB"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0,36 </w:t>
            </w:r>
          </w:p>
        </w:tc>
        <w:tc>
          <w:tcPr>
            <w:tcW w:w="1426" w:type="dxa"/>
            <w:hideMark/>
          </w:tcPr>
          <w:p w14:paraId="1832BA55"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0,85 </w:t>
            </w:r>
          </w:p>
        </w:tc>
        <w:tc>
          <w:tcPr>
            <w:tcW w:w="1414" w:type="dxa"/>
            <w:hideMark/>
          </w:tcPr>
          <w:p w14:paraId="6D2309EC"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0,83 </w:t>
            </w:r>
          </w:p>
        </w:tc>
        <w:tc>
          <w:tcPr>
            <w:tcW w:w="1329" w:type="dxa"/>
            <w:hideMark/>
          </w:tcPr>
          <w:p w14:paraId="744081A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0,91 </w:t>
            </w:r>
          </w:p>
        </w:tc>
        <w:tc>
          <w:tcPr>
            <w:tcW w:w="1426" w:type="dxa"/>
            <w:hideMark/>
          </w:tcPr>
          <w:p w14:paraId="69BB5C5A"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val="es-CO" w:eastAsia="es-CO"/>
              </w:rPr>
              <w:t xml:space="preserve">            0,96 </w:t>
            </w:r>
          </w:p>
        </w:tc>
      </w:tr>
      <w:tr w:rsidR="00F02E61" w:rsidRPr="00F02E61" w14:paraId="737A42D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5C7A1A05"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lastRenderedPageBreak/>
              <w:t>Sanepar</w:t>
            </w:r>
          </w:p>
        </w:tc>
        <w:tc>
          <w:tcPr>
            <w:tcW w:w="1426" w:type="dxa"/>
            <w:hideMark/>
          </w:tcPr>
          <w:p w14:paraId="534516E5"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1C8C2A4F"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0,59 </w:t>
            </w:r>
          </w:p>
        </w:tc>
        <w:tc>
          <w:tcPr>
            <w:tcW w:w="1426" w:type="dxa"/>
            <w:hideMark/>
          </w:tcPr>
          <w:p w14:paraId="483FC76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0,61 </w:t>
            </w:r>
          </w:p>
        </w:tc>
        <w:tc>
          <w:tcPr>
            <w:tcW w:w="1414" w:type="dxa"/>
            <w:hideMark/>
          </w:tcPr>
          <w:p w14:paraId="51D0B44C"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0,47 </w:t>
            </w:r>
          </w:p>
        </w:tc>
        <w:tc>
          <w:tcPr>
            <w:tcW w:w="1329" w:type="dxa"/>
            <w:hideMark/>
          </w:tcPr>
          <w:p w14:paraId="4EA19C34"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0,50 </w:t>
            </w:r>
          </w:p>
        </w:tc>
        <w:tc>
          <w:tcPr>
            <w:tcW w:w="1426" w:type="dxa"/>
            <w:hideMark/>
          </w:tcPr>
          <w:p w14:paraId="28F25381" w14:textId="77777777" w:rsidR="00F02E61" w:rsidRPr="00F02E61" w:rsidRDefault="00F02E61" w:rsidP="00F02E61">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2E61">
              <w:rPr>
                <w:color w:val="000000"/>
                <w:sz w:val="22"/>
                <w:lang w:eastAsia="es-CO"/>
              </w:rPr>
              <w:t xml:space="preserve">            0,49 </w:t>
            </w:r>
          </w:p>
        </w:tc>
      </w:tr>
      <w:tr w:rsidR="00F02E61" w:rsidRPr="00F02E61" w14:paraId="5BE2261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 w:type="dxa"/>
            <w:hideMark/>
          </w:tcPr>
          <w:p w14:paraId="34624CA7" w14:textId="77777777" w:rsidR="00F02E61" w:rsidRPr="00F02E61" w:rsidRDefault="00F02E61" w:rsidP="00F02E61">
            <w:pPr>
              <w:spacing w:before="0" w:beforeAutospacing="0" w:after="0" w:afterAutospacing="0" w:line="240" w:lineRule="auto"/>
              <w:ind w:firstLine="0"/>
              <w:jc w:val="left"/>
              <w:rPr>
                <w:color w:val="000000"/>
                <w:sz w:val="22"/>
                <w:lang w:val="es-CO" w:eastAsia="es-CO"/>
              </w:rPr>
            </w:pPr>
            <w:r w:rsidRPr="00F02E61">
              <w:rPr>
                <w:color w:val="000000"/>
                <w:sz w:val="22"/>
                <w:lang w:eastAsia="es-CO"/>
              </w:rPr>
              <w:t>Sanesul</w:t>
            </w:r>
          </w:p>
        </w:tc>
        <w:tc>
          <w:tcPr>
            <w:tcW w:w="1426" w:type="dxa"/>
            <w:hideMark/>
          </w:tcPr>
          <w:p w14:paraId="3A237EE8"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0,38 </w:t>
            </w:r>
          </w:p>
        </w:tc>
        <w:tc>
          <w:tcPr>
            <w:tcW w:w="1426" w:type="dxa"/>
            <w:hideMark/>
          </w:tcPr>
          <w:p w14:paraId="7EC854C2"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0,35 </w:t>
            </w:r>
          </w:p>
        </w:tc>
        <w:tc>
          <w:tcPr>
            <w:tcW w:w="1426" w:type="dxa"/>
            <w:hideMark/>
          </w:tcPr>
          <w:p w14:paraId="66688571"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0,31 </w:t>
            </w:r>
          </w:p>
        </w:tc>
        <w:tc>
          <w:tcPr>
            <w:tcW w:w="1414" w:type="dxa"/>
            <w:hideMark/>
          </w:tcPr>
          <w:p w14:paraId="52D440B4"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0,28 </w:t>
            </w:r>
          </w:p>
        </w:tc>
        <w:tc>
          <w:tcPr>
            <w:tcW w:w="1329" w:type="dxa"/>
            <w:hideMark/>
          </w:tcPr>
          <w:p w14:paraId="33C30E83"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0,29 </w:t>
            </w:r>
          </w:p>
        </w:tc>
        <w:tc>
          <w:tcPr>
            <w:tcW w:w="1426" w:type="dxa"/>
            <w:hideMark/>
          </w:tcPr>
          <w:p w14:paraId="5D107840" w14:textId="77777777" w:rsidR="00F02E61" w:rsidRPr="00F02E61" w:rsidRDefault="00F02E61" w:rsidP="00F02E61">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2E61">
              <w:rPr>
                <w:color w:val="000000"/>
                <w:sz w:val="22"/>
                <w:lang w:eastAsia="es-CO"/>
              </w:rPr>
              <w:t xml:space="preserve">            0,29 </w:t>
            </w:r>
          </w:p>
        </w:tc>
      </w:tr>
    </w:tbl>
    <w:p w14:paraId="7F23EB44" w14:textId="1F3293F5" w:rsidR="00EB4F62" w:rsidRPr="00042F25" w:rsidRDefault="00EB4F62" w:rsidP="00EB4F62">
      <w:pPr>
        <w:pStyle w:val="Descripcin"/>
        <w:spacing w:before="0" w:beforeAutospacing="0"/>
        <w:jc w:val="left"/>
        <w:rPr>
          <w:sz w:val="20"/>
        </w:rPr>
      </w:pPr>
      <w:r w:rsidRPr="00042F25">
        <w:rPr>
          <w:sz w:val="20"/>
        </w:rPr>
        <w:t>Fonte: SNIS 2015. Elaborado por: GO Associados</w:t>
      </w:r>
    </w:p>
    <w:p w14:paraId="18A83F5C" w14:textId="77777777" w:rsidR="00F4306B" w:rsidRPr="00042F25" w:rsidRDefault="00F4306B" w:rsidP="00F4306B"/>
    <w:p w14:paraId="09936C6A" w14:textId="7F94C9DD" w:rsidR="00F4306B" w:rsidRPr="00042F25" w:rsidRDefault="00F4306B" w:rsidP="00C71C89">
      <w:pPr>
        <w:pStyle w:val="Ttulo2"/>
        <w:ind w:left="1427"/>
      </w:pPr>
      <w:bookmarkStart w:id="53" w:name="_Toc493094937"/>
      <w:r w:rsidRPr="00042F25">
        <w:t>Índice de suficiência de caixa</w:t>
      </w:r>
      <w:bookmarkEnd w:id="53"/>
    </w:p>
    <w:p w14:paraId="77B2D6A0" w14:textId="15AB499B" w:rsidR="00F4306B" w:rsidRPr="00042F25" w:rsidRDefault="00F4306B" w:rsidP="00F4306B">
      <w:r w:rsidRPr="00042F25">
        <w:t xml:space="preserve">O índice de </w:t>
      </w:r>
      <w:r w:rsidR="00FA15CC" w:rsidRPr="00042F25">
        <w:t>suficiência de caixa (IN101</w:t>
      </w:r>
      <w:r w:rsidRPr="00042F25">
        <w:t>)</w:t>
      </w:r>
      <w:r w:rsidR="00FA15CC" w:rsidRPr="00042F25">
        <w:t xml:space="preserve">, expresso em </w:t>
      </w:r>
      <w:r w:rsidR="007B7960">
        <w:t>percentagem</w:t>
      </w:r>
      <w:r w:rsidR="00FA15CC" w:rsidRPr="00042F25">
        <w:t>,</w:t>
      </w:r>
      <w:r w:rsidRPr="00042F25">
        <w:t xml:space="preserve"> usa a </w:t>
      </w:r>
      <w:r w:rsidR="00FA15CC" w:rsidRPr="00042F25">
        <w:t>arrecadação total</w:t>
      </w:r>
      <w:r w:rsidRPr="00042F25">
        <w:t xml:space="preserve"> (</w:t>
      </w:r>
      <w:r w:rsidR="00FA15CC" w:rsidRPr="00042F25">
        <w:t>FN</w:t>
      </w:r>
      <w:r w:rsidRPr="00042F25">
        <w:t>00</w:t>
      </w:r>
      <w:r w:rsidR="00FA15CC" w:rsidRPr="00042F25">
        <w:t>6</w:t>
      </w:r>
      <w:r w:rsidRPr="00042F25">
        <w:t xml:space="preserve">), </w:t>
      </w:r>
      <w:r w:rsidR="00FA15CC" w:rsidRPr="00042F25">
        <w:t>despesas de exploração (FN015), despesas com juros e encargos do serviço da dívida (FN016), despesas fiscais ou tributárias não computadas em FN015</w:t>
      </w:r>
      <w:r w:rsidRPr="00042F25">
        <w:t xml:space="preserve"> e </w:t>
      </w:r>
      <w:r w:rsidR="00621308" w:rsidRPr="00042F25">
        <w:t>as despesas com</w:t>
      </w:r>
      <w:r w:rsidR="00FA15CC" w:rsidRPr="00042F25">
        <w:t xml:space="preserve"> amortizações do serviço da dívida (FN034</w:t>
      </w:r>
      <w:r w:rsidRPr="00042F25">
        <w:t xml:space="preserve">) para o seu cálculo: </w:t>
      </w:r>
    </w:p>
    <w:p w14:paraId="22E0BA34" w14:textId="5241FA08" w:rsidR="00F4306B" w:rsidRPr="00042F25" w:rsidRDefault="00F4306B" w:rsidP="00114CDA">
      <w:pPr>
        <w:jc w:val="center"/>
      </w:pPr>
      <m:oMathPara>
        <m:oMath>
          <m:r>
            <w:rPr>
              <w:rFonts w:ascii="Cambria Math" w:hAnsi="Cambria Math"/>
            </w:rPr>
            <m:t xml:space="preserve">IN101= </m:t>
          </m:r>
          <m:f>
            <m:fPr>
              <m:ctrlPr>
                <w:rPr>
                  <w:rFonts w:ascii="Cambria Math" w:hAnsi="Cambria Math"/>
                  <w:i/>
                </w:rPr>
              </m:ctrlPr>
            </m:fPr>
            <m:num>
              <m:r>
                <w:rPr>
                  <w:rFonts w:ascii="Cambria Math" w:hAnsi="Cambria Math"/>
                </w:rPr>
                <m:t>FN006</m:t>
              </m:r>
            </m:num>
            <m:den>
              <m:r>
                <w:rPr>
                  <w:rFonts w:ascii="Cambria Math" w:hAnsi="Cambria Math"/>
                </w:rPr>
                <m:t>FN015+FN034+FN016+FN022</m:t>
              </m:r>
            </m:den>
          </m:f>
          <m:r>
            <w:rPr>
              <w:rFonts w:ascii="Cambria Math" w:hAnsi="Cambria Math"/>
            </w:rPr>
            <m:t>*100</m:t>
          </m:r>
        </m:oMath>
      </m:oMathPara>
    </w:p>
    <w:p w14:paraId="22541CF5" w14:textId="1ABF59D8" w:rsidR="00F4306B" w:rsidRPr="00042F25" w:rsidRDefault="006135D7" w:rsidP="00F4306B">
      <w:r w:rsidRPr="00042F25">
        <w:t xml:space="preserve">Este índice avalia se a </w:t>
      </w:r>
      <w:r w:rsidR="00777E24" w:rsidRPr="00042F25">
        <w:t>arrecadação</w:t>
      </w:r>
      <w:r w:rsidRPr="00042F25">
        <w:t xml:space="preserve"> total cobre as despesas correntes da empresa. </w:t>
      </w:r>
      <w:r w:rsidR="00F4306B" w:rsidRPr="00042F25">
        <w:t>A evolução deste índice de 2010 a 2015 nas Companhias E</w:t>
      </w:r>
      <w:r w:rsidRPr="00042F25">
        <w:t>staduais de Saneamento Básico</w:t>
      </w:r>
      <w:r w:rsidR="00F4306B" w:rsidRPr="00042F25">
        <w:t xml:space="preserve"> mostra</w:t>
      </w:r>
      <w:r w:rsidRPr="00042F25">
        <w:t xml:space="preserve"> </w:t>
      </w:r>
      <w:r w:rsidR="007B7960">
        <w:t>a DEPASA e CAESA</w:t>
      </w:r>
      <w:r w:rsidR="00621308" w:rsidRPr="00042F25">
        <w:t xml:space="preserve"> com </w:t>
      </w:r>
      <w:r w:rsidR="007B7960">
        <w:t xml:space="preserve">os menores valores em relação </w:t>
      </w:r>
      <w:r w:rsidR="00FE6784">
        <w:t>à</w:t>
      </w:r>
      <w:r w:rsidR="007B7960">
        <w:t xml:space="preserve"> média de 91,26%</w:t>
      </w:r>
      <w:r w:rsidR="00F4306B" w:rsidRPr="00042F25">
        <w:t>.</w:t>
      </w:r>
    </w:p>
    <w:p w14:paraId="28006C53" w14:textId="36824E4D" w:rsidR="00EB4F62" w:rsidRDefault="00EB4F62" w:rsidP="00EB4F62">
      <w:pPr>
        <w:pStyle w:val="Descripcin"/>
      </w:pPr>
      <w:bookmarkStart w:id="54" w:name="_Toc493222492"/>
      <w:r w:rsidRPr="00042F25">
        <w:t xml:space="preserve">Quadro </w:t>
      </w:r>
      <w:fldSimple w:instr=" SEQ Quadro \* ARABIC ">
        <w:r w:rsidR="00B64D1C" w:rsidRPr="00042F25">
          <w:rPr>
            <w:noProof/>
          </w:rPr>
          <w:t>29</w:t>
        </w:r>
      </w:fldSimple>
      <w:r w:rsidRPr="00042F25">
        <w:t xml:space="preserve"> – Índice de Suficiência de Caixa (IN101)</w:t>
      </w:r>
      <w:bookmarkEnd w:id="54"/>
    </w:p>
    <w:tbl>
      <w:tblPr>
        <w:tblStyle w:val="Tabladecuadrcula4-nfasis11"/>
        <w:tblW w:w="8494" w:type="dxa"/>
        <w:jc w:val="center"/>
        <w:tblLook w:val="04A0" w:firstRow="1" w:lastRow="0" w:firstColumn="1" w:lastColumn="0" w:noHBand="0" w:noVBand="1"/>
      </w:tblPr>
      <w:tblGrid>
        <w:gridCol w:w="1485"/>
        <w:gridCol w:w="1244"/>
        <w:gridCol w:w="1246"/>
        <w:gridCol w:w="1246"/>
        <w:gridCol w:w="1176"/>
        <w:gridCol w:w="1092"/>
        <w:gridCol w:w="1005"/>
      </w:tblGrid>
      <w:tr w:rsidR="00F050C6" w:rsidRPr="00F050C6" w14:paraId="45FAAE9A" w14:textId="77777777" w:rsidTr="00EA348F">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3B0E133C" w14:textId="77777777" w:rsidR="00F050C6" w:rsidRPr="00F050C6" w:rsidRDefault="00F050C6" w:rsidP="00F050C6">
            <w:pPr>
              <w:spacing w:before="0" w:beforeAutospacing="0" w:after="0" w:afterAutospacing="0" w:line="240" w:lineRule="auto"/>
              <w:ind w:firstLine="0"/>
              <w:jc w:val="left"/>
              <w:rPr>
                <w:color w:val="FFFFFF"/>
                <w:sz w:val="22"/>
                <w:lang w:val="es-CO" w:eastAsia="es-CO"/>
              </w:rPr>
            </w:pPr>
            <w:r w:rsidRPr="00F050C6">
              <w:rPr>
                <w:color w:val="FFFFFF"/>
                <w:sz w:val="22"/>
                <w:lang w:eastAsia="es-CO"/>
              </w:rPr>
              <w:t>Empresa</w:t>
            </w:r>
          </w:p>
        </w:tc>
        <w:tc>
          <w:tcPr>
            <w:tcW w:w="1244" w:type="dxa"/>
            <w:hideMark/>
          </w:tcPr>
          <w:p w14:paraId="2604B62C" w14:textId="77777777" w:rsidR="00F050C6" w:rsidRPr="00F050C6" w:rsidRDefault="00F050C6" w:rsidP="00F050C6">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F050C6">
              <w:rPr>
                <w:color w:val="FFFFFF"/>
                <w:sz w:val="22"/>
                <w:lang w:eastAsia="es-CO"/>
              </w:rPr>
              <w:t>2010</w:t>
            </w:r>
          </w:p>
        </w:tc>
        <w:tc>
          <w:tcPr>
            <w:tcW w:w="1246" w:type="dxa"/>
            <w:hideMark/>
          </w:tcPr>
          <w:p w14:paraId="1DCD7381" w14:textId="77777777" w:rsidR="00F050C6" w:rsidRPr="00F050C6" w:rsidRDefault="00F050C6" w:rsidP="00F050C6">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F050C6">
              <w:rPr>
                <w:color w:val="FFFFFF"/>
                <w:sz w:val="22"/>
                <w:lang w:eastAsia="es-CO"/>
              </w:rPr>
              <w:t>2011</w:t>
            </w:r>
          </w:p>
        </w:tc>
        <w:tc>
          <w:tcPr>
            <w:tcW w:w="1246" w:type="dxa"/>
            <w:hideMark/>
          </w:tcPr>
          <w:p w14:paraId="6DD4D435" w14:textId="77777777" w:rsidR="00F050C6" w:rsidRPr="00F050C6" w:rsidRDefault="00F050C6" w:rsidP="00F050C6">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F050C6">
              <w:rPr>
                <w:color w:val="FFFFFF"/>
                <w:sz w:val="22"/>
                <w:lang w:eastAsia="es-CO"/>
              </w:rPr>
              <w:t>2012</w:t>
            </w:r>
          </w:p>
        </w:tc>
        <w:tc>
          <w:tcPr>
            <w:tcW w:w="1176" w:type="dxa"/>
            <w:hideMark/>
          </w:tcPr>
          <w:p w14:paraId="18DDE5E0" w14:textId="77777777" w:rsidR="00F050C6" w:rsidRPr="00F050C6" w:rsidRDefault="00F050C6" w:rsidP="00F050C6">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F050C6">
              <w:rPr>
                <w:color w:val="FFFFFF"/>
                <w:sz w:val="22"/>
                <w:lang w:eastAsia="es-CO"/>
              </w:rPr>
              <w:t>2013</w:t>
            </w:r>
          </w:p>
        </w:tc>
        <w:tc>
          <w:tcPr>
            <w:tcW w:w="1092" w:type="dxa"/>
            <w:hideMark/>
          </w:tcPr>
          <w:p w14:paraId="13C87627" w14:textId="77777777" w:rsidR="00F050C6" w:rsidRPr="00F050C6" w:rsidRDefault="00F050C6" w:rsidP="00F050C6">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F050C6">
              <w:rPr>
                <w:color w:val="FFFFFF"/>
                <w:sz w:val="22"/>
                <w:lang w:eastAsia="es-CO"/>
              </w:rPr>
              <w:t>2014</w:t>
            </w:r>
          </w:p>
        </w:tc>
        <w:tc>
          <w:tcPr>
            <w:tcW w:w="1005" w:type="dxa"/>
            <w:hideMark/>
          </w:tcPr>
          <w:p w14:paraId="0C697D5A" w14:textId="77777777" w:rsidR="00F050C6" w:rsidRPr="00F050C6" w:rsidRDefault="00F050C6" w:rsidP="00F050C6">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sz w:val="22"/>
                <w:lang w:val="es-CO" w:eastAsia="es-CO"/>
              </w:rPr>
            </w:pPr>
            <w:r w:rsidRPr="00F050C6">
              <w:rPr>
                <w:color w:val="FFFFFF"/>
                <w:sz w:val="22"/>
                <w:lang w:eastAsia="es-CO"/>
              </w:rPr>
              <w:t>2015</w:t>
            </w:r>
          </w:p>
        </w:tc>
      </w:tr>
      <w:tr w:rsidR="00F050C6" w:rsidRPr="00F050C6" w14:paraId="3143437B"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3D0919AB"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Agespisa</w:t>
            </w:r>
          </w:p>
        </w:tc>
        <w:tc>
          <w:tcPr>
            <w:tcW w:w="1244" w:type="dxa"/>
            <w:hideMark/>
          </w:tcPr>
          <w:p w14:paraId="212A992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0,00%</w:t>
            </w:r>
          </w:p>
        </w:tc>
        <w:tc>
          <w:tcPr>
            <w:tcW w:w="1246" w:type="dxa"/>
            <w:hideMark/>
          </w:tcPr>
          <w:p w14:paraId="7A423373"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96,73%</w:t>
            </w:r>
          </w:p>
        </w:tc>
        <w:tc>
          <w:tcPr>
            <w:tcW w:w="1246" w:type="dxa"/>
            <w:hideMark/>
          </w:tcPr>
          <w:p w14:paraId="58BCAB2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91,26%</w:t>
            </w:r>
          </w:p>
        </w:tc>
        <w:tc>
          <w:tcPr>
            <w:tcW w:w="1176" w:type="dxa"/>
            <w:hideMark/>
          </w:tcPr>
          <w:p w14:paraId="58FED20E"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82,10%</w:t>
            </w:r>
          </w:p>
        </w:tc>
        <w:tc>
          <w:tcPr>
            <w:tcW w:w="1092" w:type="dxa"/>
            <w:hideMark/>
          </w:tcPr>
          <w:p w14:paraId="42CD499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76,21%</w:t>
            </w:r>
          </w:p>
        </w:tc>
        <w:tc>
          <w:tcPr>
            <w:tcW w:w="1005" w:type="dxa"/>
            <w:hideMark/>
          </w:tcPr>
          <w:p w14:paraId="588CEBEA"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87,15%</w:t>
            </w:r>
          </w:p>
        </w:tc>
      </w:tr>
      <w:tr w:rsidR="00F050C6" w:rsidRPr="00F050C6" w14:paraId="0C440116"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7C80867E"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Caema</w:t>
            </w:r>
          </w:p>
        </w:tc>
        <w:tc>
          <w:tcPr>
            <w:tcW w:w="1244" w:type="dxa"/>
            <w:hideMark/>
          </w:tcPr>
          <w:p w14:paraId="69B4948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52,26%</w:t>
            </w:r>
          </w:p>
        </w:tc>
        <w:tc>
          <w:tcPr>
            <w:tcW w:w="1246" w:type="dxa"/>
            <w:hideMark/>
          </w:tcPr>
          <w:p w14:paraId="4FB3939A"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111,24%</w:t>
            </w:r>
          </w:p>
        </w:tc>
        <w:tc>
          <w:tcPr>
            <w:tcW w:w="1246" w:type="dxa"/>
            <w:hideMark/>
          </w:tcPr>
          <w:p w14:paraId="3732657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127,92%</w:t>
            </w:r>
          </w:p>
        </w:tc>
        <w:tc>
          <w:tcPr>
            <w:tcW w:w="1176" w:type="dxa"/>
            <w:hideMark/>
          </w:tcPr>
          <w:p w14:paraId="236C77D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147,61%</w:t>
            </w:r>
          </w:p>
        </w:tc>
        <w:tc>
          <w:tcPr>
            <w:tcW w:w="1092" w:type="dxa"/>
            <w:hideMark/>
          </w:tcPr>
          <w:p w14:paraId="133EC15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72,57%</w:t>
            </w:r>
          </w:p>
        </w:tc>
        <w:tc>
          <w:tcPr>
            <w:tcW w:w="1005" w:type="dxa"/>
            <w:hideMark/>
          </w:tcPr>
          <w:p w14:paraId="698AC8BE"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61,60%</w:t>
            </w:r>
          </w:p>
        </w:tc>
      </w:tr>
      <w:tr w:rsidR="00F050C6" w:rsidRPr="00F050C6" w14:paraId="606982B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27EA573A"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Caer</w:t>
            </w:r>
          </w:p>
        </w:tc>
        <w:tc>
          <w:tcPr>
            <w:tcW w:w="1244" w:type="dxa"/>
            <w:hideMark/>
          </w:tcPr>
          <w:p w14:paraId="64210251"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99,90%</w:t>
            </w:r>
          </w:p>
        </w:tc>
        <w:tc>
          <w:tcPr>
            <w:tcW w:w="1246" w:type="dxa"/>
            <w:hideMark/>
          </w:tcPr>
          <w:p w14:paraId="6162CABF"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89,27%</w:t>
            </w:r>
          </w:p>
        </w:tc>
        <w:tc>
          <w:tcPr>
            <w:tcW w:w="1246" w:type="dxa"/>
            <w:hideMark/>
          </w:tcPr>
          <w:p w14:paraId="2608DBC1"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84,35%</w:t>
            </w:r>
          </w:p>
        </w:tc>
        <w:tc>
          <w:tcPr>
            <w:tcW w:w="1176" w:type="dxa"/>
            <w:hideMark/>
          </w:tcPr>
          <w:p w14:paraId="3CE330D6"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80,18%</w:t>
            </w:r>
          </w:p>
        </w:tc>
        <w:tc>
          <w:tcPr>
            <w:tcW w:w="1092" w:type="dxa"/>
            <w:hideMark/>
          </w:tcPr>
          <w:p w14:paraId="72D564A5"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78,03%</w:t>
            </w:r>
          </w:p>
        </w:tc>
        <w:tc>
          <w:tcPr>
            <w:tcW w:w="1005" w:type="dxa"/>
            <w:hideMark/>
          </w:tcPr>
          <w:p w14:paraId="7F830526"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80,09%</w:t>
            </w:r>
          </w:p>
        </w:tc>
      </w:tr>
      <w:tr w:rsidR="00F050C6" w:rsidRPr="00F050C6" w14:paraId="50DEC5C8"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4AC835FE"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Caerd</w:t>
            </w:r>
          </w:p>
        </w:tc>
        <w:tc>
          <w:tcPr>
            <w:tcW w:w="1244" w:type="dxa"/>
            <w:hideMark/>
          </w:tcPr>
          <w:p w14:paraId="7DCC1BC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65,57%</w:t>
            </w:r>
          </w:p>
        </w:tc>
        <w:tc>
          <w:tcPr>
            <w:tcW w:w="1246" w:type="dxa"/>
            <w:hideMark/>
          </w:tcPr>
          <w:p w14:paraId="1A5183B9"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72,98%</w:t>
            </w:r>
          </w:p>
        </w:tc>
        <w:tc>
          <w:tcPr>
            <w:tcW w:w="1246" w:type="dxa"/>
            <w:hideMark/>
          </w:tcPr>
          <w:p w14:paraId="44370422"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73,41%</w:t>
            </w:r>
          </w:p>
        </w:tc>
        <w:tc>
          <w:tcPr>
            <w:tcW w:w="1176" w:type="dxa"/>
            <w:hideMark/>
          </w:tcPr>
          <w:p w14:paraId="0DA66179"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69,63%</w:t>
            </w:r>
          </w:p>
        </w:tc>
        <w:tc>
          <w:tcPr>
            <w:tcW w:w="1092" w:type="dxa"/>
            <w:hideMark/>
          </w:tcPr>
          <w:p w14:paraId="42F61F9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67,02%</w:t>
            </w:r>
          </w:p>
        </w:tc>
        <w:tc>
          <w:tcPr>
            <w:tcW w:w="1005" w:type="dxa"/>
            <w:hideMark/>
          </w:tcPr>
          <w:p w14:paraId="7727E73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74,21%</w:t>
            </w:r>
          </w:p>
        </w:tc>
      </w:tr>
      <w:tr w:rsidR="00F050C6" w:rsidRPr="00F050C6" w14:paraId="76EDB5C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0D567389"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Caern</w:t>
            </w:r>
          </w:p>
        </w:tc>
        <w:tc>
          <w:tcPr>
            <w:tcW w:w="1244" w:type="dxa"/>
            <w:hideMark/>
          </w:tcPr>
          <w:p w14:paraId="489AF522"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112,40%</w:t>
            </w:r>
          </w:p>
        </w:tc>
        <w:tc>
          <w:tcPr>
            <w:tcW w:w="1246" w:type="dxa"/>
            <w:hideMark/>
          </w:tcPr>
          <w:p w14:paraId="7BBAF330"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114,42%</w:t>
            </w:r>
          </w:p>
        </w:tc>
        <w:tc>
          <w:tcPr>
            <w:tcW w:w="1246" w:type="dxa"/>
            <w:hideMark/>
          </w:tcPr>
          <w:p w14:paraId="4E107079"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114,69%</w:t>
            </w:r>
          </w:p>
        </w:tc>
        <w:tc>
          <w:tcPr>
            <w:tcW w:w="1176" w:type="dxa"/>
            <w:hideMark/>
          </w:tcPr>
          <w:p w14:paraId="67B7AB7F"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121,34%</w:t>
            </w:r>
          </w:p>
        </w:tc>
        <w:tc>
          <w:tcPr>
            <w:tcW w:w="1092" w:type="dxa"/>
            <w:hideMark/>
          </w:tcPr>
          <w:p w14:paraId="0C3B034D"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115,04%</w:t>
            </w:r>
          </w:p>
        </w:tc>
        <w:tc>
          <w:tcPr>
            <w:tcW w:w="1005" w:type="dxa"/>
            <w:hideMark/>
          </w:tcPr>
          <w:p w14:paraId="4EFA647C"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103,07%</w:t>
            </w:r>
          </w:p>
        </w:tc>
      </w:tr>
      <w:tr w:rsidR="00F050C6" w:rsidRPr="00F050C6" w14:paraId="6ACCD6F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86346C5"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Caesa</w:t>
            </w:r>
          </w:p>
        </w:tc>
        <w:tc>
          <w:tcPr>
            <w:tcW w:w="1244" w:type="dxa"/>
            <w:hideMark/>
          </w:tcPr>
          <w:p w14:paraId="339EC55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52,79%</w:t>
            </w:r>
          </w:p>
        </w:tc>
        <w:tc>
          <w:tcPr>
            <w:tcW w:w="1246" w:type="dxa"/>
            <w:hideMark/>
          </w:tcPr>
          <w:p w14:paraId="6D046E6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38,35%</w:t>
            </w:r>
          </w:p>
        </w:tc>
        <w:tc>
          <w:tcPr>
            <w:tcW w:w="1246" w:type="dxa"/>
            <w:hideMark/>
          </w:tcPr>
          <w:p w14:paraId="5E0CEF56"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59,09%</w:t>
            </w:r>
          </w:p>
        </w:tc>
        <w:tc>
          <w:tcPr>
            <w:tcW w:w="1176" w:type="dxa"/>
            <w:hideMark/>
          </w:tcPr>
          <w:p w14:paraId="3146A8C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47,53%</w:t>
            </w:r>
          </w:p>
        </w:tc>
        <w:tc>
          <w:tcPr>
            <w:tcW w:w="1092" w:type="dxa"/>
            <w:hideMark/>
          </w:tcPr>
          <w:p w14:paraId="7EC6DC9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46,62%</w:t>
            </w:r>
          </w:p>
        </w:tc>
        <w:tc>
          <w:tcPr>
            <w:tcW w:w="1005" w:type="dxa"/>
            <w:hideMark/>
          </w:tcPr>
          <w:p w14:paraId="2E0AAE48"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47,07%</w:t>
            </w:r>
          </w:p>
        </w:tc>
      </w:tr>
      <w:tr w:rsidR="00F050C6" w:rsidRPr="00F050C6" w14:paraId="431B9E31"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4F60E27B"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Caesb</w:t>
            </w:r>
          </w:p>
        </w:tc>
        <w:tc>
          <w:tcPr>
            <w:tcW w:w="1244" w:type="dxa"/>
            <w:hideMark/>
          </w:tcPr>
          <w:p w14:paraId="52DD6D9C"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96,82%</w:t>
            </w:r>
          </w:p>
        </w:tc>
        <w:tc>
          <w:tcPr>
            <w:tcW w:w="1246" w:type="dxa"/>
            <w:hideMark/>
          </w:tcPr>
          <w:p w14:paraId="13C2ED3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94,81%</w:t>
            </w:r>
          </w:p>
        </w:tc>
        <w:tc>
          <w:tcPr>
            <w:tcW w:w="1246" w:type="dxa"/>
            <w:hideMark/>
          </w:tcPr>
          <w:p w14:paraId="38130DE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96,22%</w:t>
            </w:r>
          </w:p>
        </w:tc>
        <w:tc>
          <w:tcPr>
            <w:tcW w:w="1176" w:type="dxa"/>
            <w:hideMark/>
          </w:tcPr>
          <w:p w14:paraId="4E09363A"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100,44%</w:t>
            </w:r>
          </w:p>
        </w:tc>
        <w:tc>
          <w:tcPr>
            <w:tcW w:w="1092" w:type="dxa"/>
            <w:hideMark/>
          </w:tcPr>
          <w:p w14:paraId="52722AB5"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97,20%</w:t>
            </w:r>
          </w:p>
        </w:tc>
        <w:tc>
          <w:tcPr>
            <w:tcW w:w="1005" w:type="dxa"/>
            <w:hideMark/>
          </w:tcPr>
          <w:p w14:paraId="00DD413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100,92%</w:t>
            </w:r>
          </w:p>
        </w:tc>
      </w:tr>
      <w:tr w:rsidR="00F050C6" w:rsidRPr="00F050C6" w14:paraId="1FDA6D2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5909505"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Cagece</w:t>
            </w:r>
          </w:p>
        </w:tc>
        <w:tc>
          <w:tcPr>
            <w:tcW w:w="1244" w:type="dxa"/>
            <w:hideMark/>
          </w:tcPr>
          <w:p w14:paraId="66B1B03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117,94%</w:t>
            </w:r>
          </w:p>
        </w:tc>
        <w:tc>
          <w:tcPr>
            <w:tcW w:w="1246" w:type="dxa"/>
            <w:hideMark/>
          </w:tcPr>
          <w:p w14:paraId="49C302AE"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134,48%</w:t>
            </w:r>
          </w:p>
        </w:tc>
        <w:tc>
          <w:tcPr>
            <w:tcW w:w="1246" w:type="dxa"/>
            <w:hideMark/>
          </w:tcPr>
          <w:p w14:paraId="594AA3FA"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127,70%</w:t>
            </w:r>
          </w:p>
        </w:tc>
        <w:tc>
          <w:tcPr>
            <w:tcW w:w="1176" w:type="dxa"/>
            <w:hideMark/>
          </w:tcPr>
          <w:p w14:paraId="1F8194B3"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117,76%</w:t>
            </w:r>
          </w:p>
        </w:tc>
        <w:tc>
          <w:tcPr>
            <w:tcW w:w="1092" w:type="dxa"/>
            <w:hideMark/>
          </w:tcPr>
          <w:p w14:paraId="4932599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113,25%</w:t>
            </w:r>
          </w:p>
        </w:tc>
        <w:tc>
          <w:tcPr>
            <w:tcW w:w="1005" w:type="dxa"/>
            <w:hideMark/>
          </w:tcPr>
          <w:p w14:paraId="2BA2CE8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88,00%</w:t>
            </w:r>
          </w:p>
        </w:tc>
      </w:tr>
      <w:tr w:rsidR="00F050C6" w:rsidRPr="00F050C6" w14:paraId="60860659"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99B70E1"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Cagepa</w:t>
            </w:r>
          </w:p>
        </w:tc>
        <w:tc>
          <w:tcPr>
            <w:tcW w:w="1244" w:type="dxa"/>
            <w:hideMark/>
          </w:tcPr>
          <w:p w14:paraId="7B46222E"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83,82%</w:t>
            </w:r>
          </w:p>
        </w:tc>
        <w:tc>
          <w:tcPr>
            <w:tcW w:w="1246" w:type="dxa"/>
            <w:hideMark/>
          </w:tcPr>
          <w:p w14:paraId="4C9A32A0"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93,01%</w:t>
            </w:r>
          </w:p>
        </w:tc>
        <w:tc>
          <w:tcPr>
            <w:tcW w:w="1246" w:type="dxa"/>
            <w:hideMark/>
          </w:tcPr>
          <w:p w14:paraId="5294FDF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84,62%</w:t>
            </w:r>
          </w:p>
        </w:tc>
        <w:tc>
          <w:tcPr>
            <w:tcW w:w="1176" w:type="dxa"/>
            <w:hideMark/>
          </w:tcPr>
          <w:p w14:paraId="38DFBE6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79,26%</w:t>
            </w:r>
          </w:p>
        </w:tc>
        <w:tc>
          <w:tcPr>
            <w:tcW w:w="1092" w:type="dxa"/>
            <w:hideMark/>
          </w:tcPr>
          <w:p w14:paraId="7A984ECE"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98,71%</w:t>
            </w:r>
          </w:p>
        </w:tc>
        <w:tc>
          <w:tcPr>
            <w:tcW w:w="1005" w:type="dxa"/>
            <w:hideMark/>
          </w:tcPr>
          <w:p w14:paraId="4014296D"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90,57%</w:t>
            </w:r>
          </w:p>
        </w:tc>
      </w:tr>
      <w:tr w:rsidR="00F050C6" w:rsidRPr="00F050C6" w14:paraId="0A535CE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0AE76AD"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Casal</w:t>
            </w:r>
          </w:p>
        </w:tc>
        <w:tc>
          <w:tcPr>
            <w:tcW w:w="1244" w:type="dxa"/>
            <w:hideMark/>
          </w:tcPr>
          <w:p w14:paraId="100B855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83,03%</w:t>
            </w:r>
          </w:p>
        </w:tc>
        <w:tc>
          <w:tcPr>
            <w:tcW w:w="1246" w:type="dxa"/>
            <w:hideMark/>
          </w:tcPr>
          <w:p w14:paraId="25083BA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100,31%</w:t>
            </w:r>
          </w:p>
        </w:tc>
        <w:tc>
          <w:tcPr>
            <w:tcW w:w="1246" w:type="dxa"/>
            <w:hideMark/>
          </w:tcPr>
          <w:p w14:paraId="47E5E4C4"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94,80%</w:t>
            </w:r>
          </w:p>
        </w:tc>
        <w:tc>
          <w:tcPr>
            <w:tcW w:w="1176" w:type="dxa"/>
            <w:hideMark/>
          </w:tcPr>
          <w:p w14:paraId="5985FE48"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91,71%</w:t>
            </w:r>
          </w:p>
        </w:tc>
        <w:tc>
          <w:tcPr>
            <w:tcW w:w="1092" w:type="dxa"/>
            <w:hideMark/>
          </w:tcPr>
          <w:p w14:paraId="0478EA26"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80,49%</w:t>
            </w:r>
          </w:p>
        </w:tc>
        <w:tc>
          <w:tcPr>
            <w:tcW w:w="1005" w:type="dxa"/>
            <w:hideMark/>
          </w:tcPr>
          <w:p w14:paraId="2DBB6D0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77,97%</w:t>
            </w:r>
          </w:p>
        </w:tc>
      </w:tr>
      <w:tr w:rsidR="00F050C6" w:rsidRPr="00F050C6" w14:paraId="7F29E34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3B1EA5FD"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Casan</w:t>
            </w:r>
          </w:p>
        </w:tc>
        <w:tc>
          <w:tcPr>
            <w:tcW w:w="1244" w:type="dxa"/>
            <w:hideMark/>
          </w:tcPr>
          <w:p w14:paraId="21D29F9F"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116,26%</w:t>
            </w:r>
          </w:p>
        </w:tc>
        <w:tc>
          <w:tcPr>
            <w:tcW w:w="1246" w:type="dxa"/>
            <w:hideMark/>
          </w:tcPr>
          <w:p w14:paraId="28425FE5"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99,62%</w:t>
            </w:r>
          </w:p>
        </w:tc>
        <w:tc>
          <w:tcPr>
            <w:tcW w:w="1246" w:type="dxa"/>
            <w:hideMark/>
          </w:tcPr>
          <w:p w14:paraId="15659276"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104,23%</w:t>
            </w:r>
          </w:p>
        </w:tc>
        <w:tc>
          <w:tcPr>
            <w:tcW w:w="1176" w:type="dxa"/>
            <w:hideMark/>
          </w:tcPr>
          <w:p w14:paraId="74B06A2B"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102,35%</w:t>
            </w:r>
          </w:p>
        </w:tc>
        <w:tc>
          <w:tcPr>
            <w:tcW w:w="1092" w:type="dxa"/>
            <w:hideMark/>
          </w:tcPr>
          <w:p w14:paraId="2EE5E164"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83,13%</w:t>
            </w:r>
          </w:p>
        </w:tc>
        <w:tc>
          <w:tcPr>
            <w:tcW w:w="1005" w:type="dxa"/>
            <w:hideMark/>
          </w:tcPr>
          <w:p w14:paraId="4404973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98,81%</w:t>
            </w:r>
          </w:p>
        </w:tc>
      </w:tr>
      <w:tr w:rsidR="00F050C6" w:rsidRPr="00F050C6" w14:paraId="6D469A7F"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05022EBC"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Cedae</w:t>
            </w:r>
          </w:p>
        </w:tc>
        <w:tc>
          <w:tcPr>
            <w:tcW w:w="1244" w:type="dxa"/>
            <w:hideMark/>
          </w:tcPr>
          <w:p w14:paraId="3FC79E77"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117,78%</w:t>
            </w:r>
          </w:p>
        </w:tc>
        <w:tc>
          <w:tcPr>
            <w:tcW w:w="1246" w:type="dxa"/>
            <w:hideMark/>
          </w:tcPr>
          <w:p w14:paraId="68170F99"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67,93%</w:t>
            </w:r>
          </w:p>
        </w:tc>
        <w:tc>
          <w:tcPr>
            <w:tcW w:w="1246" w:type="dxa"/>
            <w:hideMark/>
          </w:tcPr>
          <w:p w14:paraId="57BE4EA7"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133,52%</w:t>
            </w:r>
          </w:p>
        </w:tc>
        <w:tc>
          <w:tcPr>
            <w:tcW w:w="1176" w:type="dxa"/>
            <w:hideMark/>
          </w:tcPr>
          <w:p w14:paraId="3ADC2FF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131,14%</w:t>
            </w:r>
          </w:p>
        </w:tc>
        <w:tc>
          <w:tcPr>
            <w:tcW w:w="1092" w:type="dxa"/>
            <w:hideMark/>
          </w:tcPr>
          <w:p w14:paraId="2C29D627"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143,87%</w:t>
            </w:r>
          </w:p>
        </w:tc>
        <w:tc>
          <w:tcPr>
            <w:tcW w:w="1005" w:type="dxa"/>
            <w:hideMark/>
          </w:tcPr>
          <w:p w14:paraId="5C095674"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128,11%</w:t>
            </w:r>
          </w:p>
        </w:tc>
      </w:tr>
      <w:tr w:rsidR="00F050C6" w:rsidRPr="00F050C6" w14:paraId="3C5627BE"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48A1EBBA"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Cesan</w:t>
            </w:r>
          </w:p>
        </w:tc>
        <w:tc>
          <w:tcPr>
            <w:tcW w:w="1244" w:type="dxa"/>
            <w:hideMark/>
          </w:tcPr>
          <w:p w14:paraId="06DD2680"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134,66%</w:t>
            </w:r>
          </w:p>
        </w:tc>
        <w:tc>
          <w:tcPr>
            <w:tcW w:w="1246" w:type="dxa"/>
            <w:hideMark/>
          </w:tcPr>
          <w:p w14:paraId="6D1AAD80"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136,23%</w:t>
            </w:r>
          </w:p>
        </w:tc>
        <w:tc>
          <w:tcPr>
            <w:tcW w:w="1246" w:type="dxa"/>
            <w:hideMark/>
          </w:tcPr>
          <w:p w14:paraId="337EFFC3"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127,57%</w:t>
            </w:r>
          </w:p>
        </w:tc>
        <w:tc>
          <w:tcPr>
            <w:tcW w:w="1176" w:type="dxa"/>
            <w:hideMark/>
          </w:tcPr>
          <w:p w14:paraId="2A26A3D9"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137,40%</w:t>
            </w:r>
          </w:p>
        </w:tc>
        <w:tc>
          <w:tcPr>
            <w:tcW w:w="1092" w:type="dxa"/>
            <w:hideMark/>
          </w:tcPr>
          <w:p w14:paraId="276884AA"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113,97%</w:t>
            </w:r>
          </w:p>
        </w:tc>
        <w:tc>
          <w:tcPr>
            <w:tcW w:w="1005" w:type="dxa"/>
            <w:hideMark/>
          </w:tcPr>
          <w:p w14:paraId="6FB63683"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123,29%</w:t>
            </w:r>
          </w:p>
        </w:tc>
      </w:tr>
      <w:tr w:rsidR="00F050C6" w:rsidRPr="00F050C6" w14:paraId="72525FD5"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503F6A15"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Compesa</w:t>
            </w:r>
          </w:p>
        </w:tc>
        <w:tc>
          <w:tcPr>
            <w:tcW w:w="1244" w:type="dxa"/>
            <w:hideMark/>
          </w:tcPr>
          <w:p w14:paraId="2BD57B1A"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103,08%</w:t>
            </w:r>
          </w:p>
        </w:tc>
        <w:tc>
          <w:tcPr>
            <w:tcW w:w="1246" w:type="dxa"/>
            <w:hideMark/>
          </w:tcPr>
          <w:p w14:paraId="37E05542"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97,73%</w:t>
            </w:r>
          </w:p>
        </w:tc>
        <w:tc>
          <w:tcPr>
            <w:tcW w:w="1246" w:type="dxa"/>
            <w:hideMark/>
          </w:tcPr>
          <w:p w14:paraId="3433A363"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100,87%</w:t>
            </w:r>
          </w:p>
        </w:tc>
        <w:tc>
          <w:tcPr>
            <w:tcW w:w="1176" w:type="dxa"/>
            <w:hideMark/>
          </w:tcPr>
          <w:p w14:paraId="3C0FE1B6"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101,14%</w:t>
            </w:r>
          </w:p>
        </w:tc>
        <w:tc>
          <w:tcPr>
            <w:tcW w:w="1092" w:type="dxa"/>
            <w:hideMark/>
          </w:tcPr>
          <w:p w14:paraId="4852C74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100,28%</w:t>
            </w:r>
          </w:p>
        </w:tc>
        <w:tc>
          <w:tcPr>
            <w:tcW w:w="1005" w:type="dxa"/>
            <w:hideMark/>
          </w:tcPr>
          <w:p w14:paraId="2AB4BA0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98,30%</w:t>
            </w:r>
          </w:p>
        </w:tc>
      </w:tr>
      <w:tr w:rsidR="00F050C6" w:rsidRPr="00F050C6" w14:paraId="3CF1BFB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5D3369C9"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Copasa</w:t>
            </w:r>
          </w:p>
        </w:tc>
        <w:tc>
          <w:tcPr>
            <w:tcW w:w="1244" w:type="dxa"/>
            <w:hideMark/>
          </w:tcPr>
          <w:p w14:paraId="186E2428"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112,94%</w:t>
            </w:r>
          </w:p>
        </w:tc>
        <w:tc>
          <w:tcPr>
            <w:tcW w:w="1246" w:type="dxa"/>
            <w:hideMark/>
          </w:tcPr>
          <w:p w14:paraId="546DC7BB"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116,41%</w:t>
            </w:r>
          </w:p>
        </w:tc>
        <w:tc>
          <w:tcPr>
            <w:tcW w:w="1246" w:type="dxa"/>
            <w:hideMark/>
          </w:tcPr>
          <w:p w14:paraId="1294296D"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100,78%</w:t>
            </w:r>
          </w:p>
        </w:tc>
        <w:tc>
          <w:tcPr>
            <w:tcW w:w="1176" w:type="dxa"/>
            <w:hideMark/>
          </w:tcPr>
          <w:p w14:paraId="590601EE"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111,27%</w:t>
            </w:r>
          </w:p>
        </w:tc>
        <w:tc>
          <w:tcPr>
            <w:tcW w:w="1092" w:type="dxa"/>
            <w:hideMark/>
          </w:tcPr>
          <w:p w14:paraId="5684DE4D"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113,66%</w:t>
            </w:r>
          </w:p>
        </w:tc>
        <w:tc>
          <w:tcPr>
            <w:tcW w:w="1005" w:type="dxa"/>
            <w:hideMark/>
          </w:tcPr>
          <w:p w14:paraId="42511DD1"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94,24%</w:t>
            </w:r>
          </w:p>
        </w:tc>
      </w:tr>
      <w:tr w:rsidR="00F050C6" w:rsidRPr="00F050C6" w14:paraId="2EFE3261"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215441FF"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Corsan</w:t>
            </w:r>
          </w:p>
        </w:tc>
        <w:tc>
          <w:tcPr>
            <w:tcW w:w="1244" w:type="dxa"/>
            <w:hideMark/>
          </w:tcPr>
          <w:p w14:paraId="387492C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0,00%</w:t>
            </w:r>
          </w:p>
        </w:tc>
        <w:tc>
          <w:tcPr>
            <w:tcW w:w="1246" w:type="dxa"/>
            <w:hideMark/>
          </w:tcPr>
          <w:p w14:paraId="6B30A108"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108,70%</w:t>
            </w:r>
          </w:p>
        </w:tc>
        <w:tc>
          <w:tcPr>
            <w:tcW w:w="1246" w:type="dxa"/>
            <w:hideMark/>
          </w:tcPr>
          <w:p w14:paraId="439E9296"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100,06%</w:t>
            </w:r>
          </w:p>
        </w:tc>
        <w:tc>
          <w:tcPr>
            <w:tcW w:w="1176" w:type="dxa"/>
            <w:hideMark/>
          </w:tcPr>
          <w:p w14:paraId="356A66E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106,90%</w:t>
            </w:r>
          </w:p>
        </w:tc>
        <w:tc>
          <w:tcPr>
            <w:tcW w:w="1092" w:type="dxa"/>
            <w:hideMark/>
          </w:tcPr>
          <w:p w14:paraId="4DF965C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113,96%</w:t>
            </w:r>
          </w:p>
        </w:tc>
        <w:tc>
          <w:tcPr>
            <w:tcW w:w="1005" w:type="dxa"/>
            <w:hideMark/>
          </w:tcPr>
          <w:p w14:paraId="73C38625"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112,95%</w:t>
            </w:r>
          </w:p>
        </w:tc>
      </w:tr>
      <w:tr w:rsidR="00F050C6" w:rsidRPr="00F050C6" w14:paraId="5CD984A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68DF6D4E"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lastRenderedPageBreak/>
              <w:t>Cosanpa</w:t>
            </w:r>
          </w:p>
        </w:tc>
        <w:tc>
          <w:tcPr>
            <w:tcW w:w="1244" w:type="dxa"/>
            <w:hideMark/>
          </w:tcPr>
          <w:p w14:paraId="5E7140C5"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59,79%</w:t>
            </w:r>
          </w:p>
        </w:tc>
        <w:tc>
          <w:tcPr>
            <w:tcW w:w="1246" w:type="dxa"/>
            <w:hideMark/>
          </w:tcPr>
          <w:p w14:paraId="39CEB3F0"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52,30%</w:t>
            </w:r>
          </w:p>
        </w:tc>
        <w:tc>
          <w:tcPr>
            <w:tcW w:w="1246" w:type="dxa"/>
            <w:hideMark/>
          </w:tcPr>
          <w:p w14:paraId="49D9C704"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56,36%</w:t>
            </w:r>
          </w:p>
        </w:tc>
        <w:tc>
          <w:tcPr>
            <w:tcW w:w="1176" w:type="dxa"/>
            <w:hideMark/>
          </w:tcPr>
          <w:p w14:paraId="42B4D392"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54,84%</w:t>
            </w:r>
          </w:p>
        </w:tc>
        <w:tc>
          <w:tcPr>
            <w:tcW w:w="1092" w:type="dxa"/>
            <w:hideMark/>
          </w:tcPr>
          <w:p w14:paraId="2E257031"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50,16%</w:t>
            </w:r>
          </w:p>
        </w:tc>
        <w:tc>
          <w:tcPr>
            <w:tcW w:w="1005" w:type="dxa"/>
            <w:hideMark/>
          </w:tcPr>
          <w:p w14:paraId="6D4DCDB5"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42,40%</w:t>
            </w:r>
          </w:p>
        </w:tc>
      </w:tr>
      <w:tr w:rsidR="00F050C6" w:rsidRPr="00F050C6" w14:paraId="79C86B5E"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FC2C3BA"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Depasa</w:t>
            </w:r>
          </w:p>
        </w:tc>
        <w:tc>
          <w:tcPr>
            <w:tcW w:w="1244" w:type="dxa"/>
            <w:hideMark/>
          </w:tcPr>
          <w:p w14:paraId="0DDB6DD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20,90%</w:t>
            </w:r>
          </w:p>
        </w:tc>
        <w:tc>
          <w:tcPr>
            <w:tcW w:w="1246" w:type="dxa"/>
            <w:hideMark/>
          </w:tcPr>
          <w:p w14:paraId="3612B97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20,51%</w:t>
            </w:r>
          </w:p>
        </w:tc>
        <w:tc>
          <w:tcPr>
            <w:tcW w:w="1246" w:type="dxa"/>
            <w:hideMark/>
          </w:tcPr>
          <w:p w14:paraId="0760C4B9"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37,15%</w:t>
            </w:r>
          </w:p>
        </w:tc>
        <w:tc>
          <w:tcPr>
            <w:tcW w:w="1176" w:type="dxa"/>
            <w:hideMark/>
          </w:tcPr>
          <w:p w14:paraId="2667A82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46,83%</w:t>
            </w:r>
          </w:p>
        </w:tc>
        <w:tc>
          <w:tcPr>
            <w:tcW w:w="1092" w:type="dxa"/>
            <w:hideMark/>
          </w:tcPr>
          <w:p w14:paraId="71AB9E50"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50,20%</w:t>
            </w:r>
          </w:p>
        </w:tc>
        <w:tc>
          <w:tcPr>
            <w:tcW w:w="1005" w:type="dxa"/>
            <w:hideMark/>
          </w:tcPr>
          <w:p w14:paraId="5FE54657"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57,52%</w:t>
            </w:r>
          </w:p>
        </w:tc>
      </w:tr>
      <w:tr w:rsidR="00F050C6" w:rsidRPr="00F050C6" w14:paraId="15EEC32C"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8CBE758"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Deso</w:t>
            </w:r>
          </w:p>
        </w:tc>
        <w:tc>
          <w:tcPr>
            <w:tcW w:w="1244" w:type="dxa"/>
            <w:hideMark/>
          </w:tcPr>
          <w:p w14:paraId="6176C78D"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85,82%</w:t>
            </w:r>
          </w:p>
        </w:tc>
        <w:tc>
          <w:tcPr>
            <w:tcW w:w="1246" w:type="dxa"/>
            <w:hideMark/>
          </w:tcPr>
          <w:p w14:paraId="24D248FC"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93,50%</w:t>
            </w:r>
          </w:p>
        </w:tc>
        <w:tc>
          <w:tcPr>
            <w:tcW w:w="1246" w:type="dxa"/>
            <w:hideMark/>
          </w:tcPr>
          <w:p w14:paraId="3246C071"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94,51%</w:t>
            </w:r>
          </w:p>
        </w:tc>
        <w:tc>
          <w:tcPr>
            <w:tcW w:w="1176" w:type="dxa"/>
            <w:hideMark/>
          </w:tcPr>
          <w:p w14:paraId="5F51812C"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99,85%</w:t>
            </w:r>
          </w:p>
        </w:tc>
        <w:tc>
          <w:tcPr>
            <w:tcW w:w="1092" w:type="dxa"/>
            <w:hideMark/>
          </w:tcPr>
          <w:p w14:paraId="54D551D2"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94,80%</w:t>
            </w:r>
          </w:p>
        </w:tc>
        <w:tc>
          <w:tcPr>
            <w:tcW w:w="1005" w:type="dxa"/>
            <w:hideMark/>
          </w:tcPr>
          <w:p w14:paraId="16B0C12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97,60%</w:t>
            </w:r>
          </w:p>
        </w:tc>
      </w:tr>
      <w:tr w:rsidR="00F050C6" w:rsidRPr="00F050C6" w14:paraId="22B1CD10"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03C225D6"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Embasa</w:t>
            </w:r>
          </w:p>
        </w:tc>
        <w:tc>
          <w:tcPr>
            <w:tcW w:w="1244" w:type="dxa"/>
            <w:hideMark/>
          </w:tcPr>
          <w:p w14:paraId="4A3234B8"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131,67%</w:t>
            </w:r>
          </w:p>
        </w:tc>
        <w:tc>
          <w:tcPr>
            <w:tcW w:w="1246" w:type="dxa"/>
            <w:hideMark/>
          </w:tcPr>
          <w:p w14:paraId="031D569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124,12%</w:t>
            </w:r>
          </w:p>
        </w:tc>
        <w:tc>
          <w:tcPr>
            <w:tcW w:w="1246" w:type="dxa"/>
            <w:hideMark/>
          </w:tcPr>
          <w:p w14:paraId="17903108"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118,06%</w:t>
            </w:r>
          </w:p>
        </w:tc>
        <w:tc>
          <w:tcPr>
            <w:tcW w:w="1176" w:type="dxa"/>
            <w:hideMark/>
          </w:tcPr>
          <w:p w14:paraId="11B5C6A5"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110,24%</w:t>
            </w:r>
          </w:p>
        </w:tc>
        <w:tc>
          <w:tcPr>
            <w:tcW w:w="1092" w:type="dxa"/>
            <w:hideMark/>
          </w:tcPr>
          <w:p w14:paraId="05925E0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119,71%</w:t>
            </w:r>
          </w:p>
        </w:tc>
        <w:tc>
          <w:tcPr>
            <w:tcW w:w="1005" w:type="dxa"/>
            <w:hideMark/>
          </w:tcPr>
          <w:p w14:paraId="5B2E8504"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117,47%</w:t>
            </w:r>
          </w:p>
        </w:tc>
      </w:tr>
      <w:tr w:rsidR="00F050C6" w:rsidRPr="00F050C6" w14:paraId="32FE8604"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A1493CA"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Sabesp</w:t>
            </w:r>
          </w:p>
        </w:tc>
        <w:tc>
          <w:tcPr>
            <w:tcW w:w="1244" w:type="dxa"/>
            <w:hideMark/>
          </w:tcPr>
          <w:p w14:paraId="22766FF8"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110,43%</w:t>
            </w:r>
          </w:p>
        </w:tc>
        <w:tc>
          <w:tcPr>
            <w:tcW w:w="1246" w:type="dxa"/>
            <w:hideMark/>
          </w:tcPr>
          <w:p w14:paraId="34B250CA"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105,61%</w:t>
            </w:r>
          </w:p>
        </w:tc>
        <w:tc>
          <w:tcPr>
            <w:tcW w:w="1246" w:type="dxa"/>
            <w:hideMark/>
          </w:tcPr>
          <w:p w14:paraId="37D22B1A"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116,23%</w:t>
            </w:r>
          </w:p>
        </w:tc>
        <w:tc>
          <w:tcPr>
            <w:tcW w:w="1176" w:type="dxa"/>
            <w:hideMark/>
          </w:tcPr>
          <w:p w14:paraId="14CC567F"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113,26%</w:t>
            </w:r>
          </w:p>
        </w:tc>
        <w:tc>
          <w:tcPr>
            <w:tcW w:w="1092" w:type="dxa"/>
            <w:hideMark/>
          </w:tcPr>
          <w:p w14:paraId="7E1EF5A3"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128,09%</w:t>
            </w:r>
          </w:p>
        </w:tc>
        <w:tc>
          <w:tcPr>
            <w:tcW w:w="1005" w:type="dxa"/>
            <w:hideMark/>
          </w:tcPr>
          <w:p w14:paraId="04C27491"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125,75%</w:t>
            </w:r>
          </w:p>
        </w:tc>
      </w:tr>
      <w:tr w:rsidR="00F050C6" w:rsidRPr="00F050C6" w14:paraId="5AD0C5AB"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696808CA"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Saneago</w:t>
            </w:r>
          </w:p>
        </w:tc>
        <w:tc>
          <w:tcPr>
            <w:tcW w:w="1244" w:type="dxa"/>
            <w:hideMark/>
          </w:tcPr>
          <w:p w14:paraId="57261635"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123,79%</w:t>
            </w:r>
          </w:p>
        </w:tc>
        <w:tc>
          <w:tcPr>
            <w:tcW w:w="1246" w:type="dxa"/>
            <w:hideMark/>
          </w:tcPr>
          <w:p w14:paraId="6B2ECD83"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102,55%</w:t>
            </w:r>
          </w:p>
        </w:tc>
        <w:tc>
          <w:tcPr>
            <w:tcW w:w="1246" w:type="dxa"/>
            <w:hideMark/>
          </w:tcPr>
          <w:p w14:paraId="7D8F07C2"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111,82%</w:t>
            </w:r>
          </w:p>
        </w:tc>
        <w:tc>
          <w:tcPr>
            <w:tcW w:w="1176" w:type="dxa"/>
            <w:hideMark/>
          </w:tcPr>
          <w:p w14:paraId="73299057"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101,17%</w:t>
            </w:r>
          </w:p>
        </w:tc>
        <w:tc>
          <w:tcPr>
            <w:tcW w:w="1092" w:type="dxa"/>
            <w:hideMark/>
          </w:tcPr>
          <w:p w14:paraId="1C9344FB"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88,40%</w:t>
            </w:r>
          </w:p>
        </w:tc>
        <w:tc>
          <w:tcPr>
            <w:tcW w:w="1005" w:type="dxa"/>
            <w:hideMark/>
          </w:tcPr>
          <w:p w14:paraId="58CA0FE6"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66,82%</w:t>
            </w:r>
          </w:p>
        </w:tc>
      </w:tr>
      <w:tr w:rsidR="00F050C6" w:rsidRPr="00F050C6" w14:paraId="3F9A2C66"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63C062B"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val="es-CO" w:eastAsia="es-CO"/>
              </w:rPr>
              <w:t>Saneatins</w:t>
            </w:r>
          </w:p>
        </w:tc>
        <w:tc>
          <w:tcPr>
            <w:tcW w:w="1244" w:type="dxa"/>
            <w:hideMark/>
          </w:tcPr>
          <w:p w14:paraId="17C55952"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val="es-CO" w:eastAsia="es-CO"/>
              </w:rPr>
              <w:t>138,51%</w:t>
            </w:r>
          </w:p>
        </w:tc>
        <w:tc>
          <w:tcPr>
            <w:tcW w:w="1246" w:type="dxa"/>
            <w:hideMark/>
          </w:tcPr>
          <w:p w14:paraId="09004D06"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val="es-CO" w:eastAsia="es-CO"/>
              </w:rPr>
              <w:t>187,55%</w:t>
            </w:r>
          </w:p>
        </w:tc>
        <w:tc>
          <w:tcPr>
            <w:tcW w:w="1246" w:type="dxa"/>
            <w:hideMark/>
          </w:tcPr>
          <w:p w14:paraId="6B97956D"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val="es-CO" w:eastAsia="es-CO"/>
              </w:rPr>
              <w:t>435,16%</w:t>
            </w:r>
          </w:p>
        </w:tc>
        <w:tc>
          <w:tcPr>
            <w:tcW w:w="1176" w:type="dxa"/>
            <w:hideMark/>
          </w:tcPr>
          <w:p w14:paraId="314C63EB"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val="es-CO" w:eastAsia="es-CO"/>
              </w:rPr>
              <w:t>153,23%</w:t>
            </w:r>
          </w:p>
        </w:tc>
        <w:tc>
          <w:tcPr>
            <w:tcW w:w="1092" w:type="dxa"/>
            <w:hideMark/>
          </w:tcPr>
          <w:p w14:paraId="5AA208CF"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val="es-CO" w:eastAsia="es-CO"/>
              </w:rPr>
              <w:t>139,81%</w:t>
            </w:r>
          </w:p>
        </w:tc>
        <w:tc>
          <w:tcPr>
            <w:tcW w:w="1005" w:type="dxa"/>
            <w:hideMark/>
          </w:tcPr>
          <w:p w14:paraId="1538D042"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val="es-CO" w:eastAsia="es-CO"/>
              </w:rPr>
              <w:t>76,75%</w:t>
            </w:r>
          </w:p>
        </w:tc>
      </w:tr>
      <w:tr w:rsidR="00F050C6" w:rsidRPr="00F050C6" w14:paraId="0A8EB30A" w14:textId="77777777" w:rsidTr="00EA348F">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8A61648"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Sanepar</w:t>
            </w:r>
          </w:p>
        </w:tc>
        <w:tc>
          <w:tcPr>
            <w:tcW w:w="1244" w:type="dxa"/>
            <w:hideMark/>
          </w:tcPr>
          <w:p w14:paraId="36B177BD"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119,31%</w:t>
            </w:r>
          </w:p>
        </w:tc>
        <w:tc>
          <w:tcPr>
            <w:tcW w:w="1246" w:type="dxa"/>
            <w:hideMark/>
          </w:tcPr>
          <w:p w14:paraId="514B4E3F"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122,38%</w:t>
            </w:r>
          </w:p>
        </w:tc>
        <w:tc>
          <w:tcPr>
            <w:tcW w:w="1246" w:type="dxa"/>
            <w:hideMark/>
          </w:tcPr>
          <w:p w14:paraId="5105B6C1"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175,86%</w:t>
            </w:r>
          </w:p>
        </w:tc>
        <w:tc>
          <w:tcPr>
            <w:tcW w:w="1176" w:type="dxa"/>
            <w:hideMark/>
          </w:tcPr>
          <w:p w14:paraId="6340EB38"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136,76%</w:t>
            </w:r>
          </w:p>
        </w:tc>
        <w:tc>
          <w:tcPr>
            <w:tcW w:w="1092" w:type="dxa"/>
            <w:hideMark/>
          </w:tcPr>
          <w:p w14:paraId="4C8CACC4"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127,19%</w:t>
            </w:r>
          </w:p>
        </w:tc>
        <w:tc>
          <w:tcPr>
            <w:tcW w:w="1005" w:type="dxa"/>
            <w:hideMark/>
          </w:tcPr>
          <w:p w14:paraId="4BCCCAD9" w14:textId="77777777" w:rsidR="00F050C6" w:rsidRPr="00F050C6" w:rsidRDefault="00F050C6" w:rsidP="00F050C6">
            <w:pPr>
              <w:spacing w:before="0" w:beforeAutospacing="0" w:after="0" w:afterAutospacing="0" w:line="240" w:lineRule="auto"/>
              <w:ind w:firstLine="0"/>
              <w:jc w:val="right"/>
              <w:cnfStyle w:val="000000000000" w:firstRow="0" w:lastRow="0" w:firstColumn="0" w:lastColumn="0" w:oddVBand="0" w:evenVBand="0" w:oddHBand="0" w:evenHBand="0" w:firstRowFirstColumn="0" w:firstRowLastColumn="0" w:lastRowFirstColumn="0" w:lastRowLastColumn="0"/>
              <w:rPr>
                <w:color w:val="000000"/>
                <w:sz w:val="22"/>
                <w:lang w:val="es-CO" w:eastAsia="es-CO"/>
              </w:rPr>
            </w:pPr>
            <w:r w:rsidRPr="00F050C6">
              <w:rPr>
                <w:color w:val="000000"/>
                <w:sz w:val="22"/>
                <w:lang w:eastAsia="es-CO"/>
              </w:rPr>
              <w:t>114,43%</w:t>
            </w:r>
          </w:p>
        </w:tc>
      </w:tr>
      <w:tr w:rsidR="00F050C6" w:rsidRPr="00F050C6" w14:paraId="0223B165" w14:textId="77777777" w:rsidTr="00EA348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hideMark/>
          </w:tcPr>
          <w:p w14:paraId="1F772FB2" w14:textId="77777777" w:rsidR="00F050C6" w:rsidRPr="00F050C6" w:rsidRDefault="00F050C6" w:rsidP="00F050C6">
            <w:pPr>
              <w:spacing w:before="0" w:beforeAutospacing="0" w:after="0" w:afterAutospacing="0" w:line="240" w:lineRule="auto"/>
              <w:ind w:firstLine="0"/>
              <w:jc w:val="left"/>
              <w:rPr>
                <w:color w:val="000000"/>
                <w:sz w:val="22"/>
                <w:lang w:val="es-CO" w:eastAsia="es-CO"/>
              </w:rPr>
            </w:pPr>
            <w:r w:rsidRPr="00F050C6">
              <w:rPr>
                <w:color w:val="000000"/>
                <w:sz w:val="22"/>
                <w:lang w:eastAsia="es-CO"/>
              </w:rPr>
              <w:t>Sanesul</w:t>
            </w:r>
          </w:p>
        </w:tc>
        <w:tc>
          <w:tcPr>
            <w:tcW w:w="1244" w:type="dxa"/>
            <w:hideMark/>
          </w:tcPr>
          <w:p w14:paraId="3A6D87D2"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135,77%</w:t>
            </w:r>
          </w:p>
        </w:tc>
        <w:tc>
          <w:tcPr>
            <w:tcW w:w="1246" w:type="dxa"/>
            <w:hideMark/>
          </w:tcPr>
          <w:p w14:paraId="17005A0F"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122,22%</w:t>
            </w:r>
          </w:p>
        </w:tc>
        <w:tc>
          <w:tcPr>
            <w:tcW w:w="1246" w:type="dxa"/>
            <w:hideMark/>
          </w:tcPr>
          <w:p w14:paraId="038BB1F7"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126,82%</w:t>
            </w:r>
          </w:p>
        </w:tc>
        <w:tc>
          <w:tcPr>
            <w:tcW w:w="1176" w:type="dxa"/>
            <w:hideMark/>
          </w:tcPr>
          <w:p w14:paraId="21371345"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124,33%</w:t>
            </w:r>
          </w:p>
        </w:tc>
        <w:tc>
          <w:tcPr>
            <w:tcW w:w="1092" w:type="dxa"/>
            <w:hideMark/>
          </w:tcPr>
          <w:p w14:paraId="58EAFCEE"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119,88%</w:t>
            </w:r>
          </w:p>
        </w:tc>
        <w:tc>
          <w:tcPr>
            <w:tcW w:w="1005" w:type="dxa"/>
            <w:hideMark/>
          </w:tcPr>
          <w:p w14:paraId="49F61F83" w14:textId="77777777" w:rsidR="00F050C6" w:rsidRPr="00F050C6" w:rsidRDefault="00F050C6" w:rsidP="00F050C6">
            <w:pPr>
              <w:spacing w:before="0" w:beforeAutospacing="0" w:after="0" w:afterAutospacing="0" w:line="240" w:lineRule="auto"/>
              <w:ind w:firstLine="0"/>
              <w:jc w:val="right"/>
              <w:cnfStyle w:val="000000100000" w:firstRow="0" w:lastRow="0" w:firstColumn="0" w:lastColumn="0" w:oddVBand="0" w:evenVBand="0" w:oddHBand="1" w:evenHBand="0" w:firstRowFirstColumn="0" w:firstRowLastColumn="0" w:lastRowFirstColumn="0" w:lastRowLastColumn="0"/>
              <w:rPr>
                <w:color w:val="000000"/>
                <w:sz w:val="22"/>
                <w:lang w:val="es-CO" w:eastAsia="es-CO"/>
              </w:rPr>
            </w:pPr>
            <w:r w:rsidRPr="00F050C6">
              <w:rPr>
                <w:color w:val="000000"/>
                <w:sz w:val="22"/>
                <w:lang w:eastAsia="es-CO"/>
              </w:rPr>
              <w:t>116,41%</w:t>
            </w:r>
          </w:p>
        </w:tc>
      </w:tr>
    </w:tbl>
    <w:p w14:paraId="44CE32DD" w14:textId="0A060650" w:rsidR="003847A3" w:rsidRPr="00042F25" w:rsidRDefault="00EB4F62" w:rsidP="00EB4F62">
      <w:pPr>
        <w:pStyle w:val="Descripcin"/>
        <w:spacing w:before="0" w:beforeAutospacing="0"/>
        <w:jc w:val="left"/>
        <w:rPr>
          <w:sz w:val="20"/>
        </w:rPr>
      </w:pPr>
      <w:r w:rsidRPr="00042F25">
        <w:rPr>
          <w:sz w:val="20"/>
        </w:rPr>
        <w:t>Fonte: SNIS 2015. Elaborado por: GO Associados</w:t>
      </w:r>
    </w:p>
    <w:p w14:paraId="242CCF8E" w14:textId="77777777" w:rsidR="00EB4F62" w:rsidRPr="00042F25" w:rsidRDefault="00EB4F62" w:rsidP="00EB4F62"/>
    <w:p w14:paraId="4CC38D37" w14:textId="76C29D52" w:rsidR="00AD6F72" w:rsidRPr="00042F25" w:rsidRDefault="00245A0A" w:rsidP="00245A0A">
      <w:pPr>
        <w:pStyle w:val="Ttulo1"/>
      </w:pPr>
      <w:bookmarkStart w:id="55" w:name="_Toc493094938"/>
      <w:r w:rsidRPr="00042F25">
        <w:lastRenderedPageBreak/>
        <w:t>Conclusões</w:t>
      </w:r>
      <w:bookmarkEnd w:id="55"/>
    </w:p>
    <w:p w14:paraId="7EBFD9A2" w14:textId="4AD96B27" w:rsidR="00AD6F72" w:rsidRPr="00042F25" w:rsidRDefault="000C3CD5" w:rsidP="000C3CD5">
      <w:r w:rsidRPr="00042F25">
        <w:t xml:space="preserve">O objetivo deste documento foi avaliar o desempenho das Companhias Estaduais de Saneamento Básico (CESB). </w:t>
      </w:r>
      <w:r w:rsidR="00B5007C" w:rsidRPr="00042F25">
        <w:t>As</w:t>
      </w:r>
      <w:r w:rsidR="00F1287A" w:rsidRPr="00042F25">
        <w:t xml:space="preserve"> principais conclusões são</w:t>
      </w:r>
      <w:r w:rsidR="00AD6F72" w:rsidRPr="00042F25">
        <w:t>:</w:t>
      </w:r>
    </w:p>
    <w:p w14:paraId="4C733458" w14:textId="1C2CC954" w:rsidR="004A62A1" w:rsidRPr="00042F25" w:rsidRDefault="009C692E" w:rsidP="00B30FF6">
      <w:pPr>
        <w:pStyle w:val="Prrafodelista"/>
        <w:numPr>
          <w:ilvl w:val="0"/>
          <w:numId w:val="11"/>
        </w:numPr>
      </w:pPr>
      <w:r w:rsidRPr="00042F25">
        <w:t>Os avanços apresentados n</w:t>
      </w:r>
      <w:r w:rsidR="004A62A1" w:rsidRPr="00042F25">
        <w:t>os indicadores categorizados são em geral lentos e não muito significativo</w:t>
      </w:r>
      <w:r w:rsidR="00F04DD3">
        <w:t>s</w:t>
      </w:r>
      <w:r w:rsidR="004A62A1" w:rsidRPr="00042F25">
        <w:t xml:space="preserve"> apesar do período avaliado de 6 anos</w:t>
      </w:r>
      <w:r w:rsidR="00F04DD3">
        <w:t xml:space="preserve"> (2010-2015)</w:t>
      </w:r>
      <w:r w:rsidR="004A62A1" w:rsidRPr="00042F25">
        <w:t>.</w:t>
      </w:r>
    </w:p>
    <w:p w14:paraId="35F18B21" w14:textId="49810B69" w:rsidR="00541361" w:rsidRPr="00042F25" w:rsidRDefault="009144C2" w:rsidP="00B30FF6">
      <w:pPr>
        <w:pStyle w:val="Prrafodelista"/>
        <w:numPr>
          <w:ilvl w:val="0"/>
          <w:numId w:val="11"/>
        </w:numPr>
      </w:pPr>
      <w:r w:rsidRPr="00042F25">
        <w:t xml:space="preserve">Os índices de atendimento não apresentaram avanço significativo </w:t>
      </w:r>
      <w:r w:rsidR="00F04DD3">
        <w:t xml:space="preserve">(menor a 6 pontos básicos) </w:t>
      </w:r>
      <w:r w:rsidRPr="00042F25">
        <w:t>para se atingir as metas do P</w:t>
      </w:r>
      <w:r w:rsidR="00FE6784">
        <w:t>LANSAB</w:t>
      </w:r>
      <w:bookmarkStart w:id="56" w:name="_GoBack"/>
      <w:bookmarkEnd w:id="56"/>
      <w:r w:rsidRPr="00042F25">
        <w:t xml:space="preserve"> at</w:t>
      </w:r>
      <w:r w:rsidR="009D7EDF">
        <w:t>é o ano desejado pelo governo em</w:t>
      </w:r>
      <w:r w:rsidRPr="00042F25">
        <w:t xml:space="preserve"> 203</w:t>
      </w:r>
      <w:r w:rsidR="00F04DD3" w:rsidRPr="00EA348F">
        <w:t>3</w:t>
      </w:r>
      <w:r w:rsidR="00A577D5" w:rsidRPr="00042F25">
        <w:t>.</w:t>
      </w:r>
      <w:r w:rsidR="00F04DD3">
        <w:t xml:space="preserve"> Média de atendimento urbano em 2015 de agua de 86,07% e esgoto 34,21%.  </w:t>
      </w:r>
    </w:p>
    <w:p w14:paraId="069EFCB2" w14:textId="4ADDEE22" w:rsidR="009144C2" w:rsidRPr="00042F25" w:rsidRDefault="0049467F" w:rsidP="0049467F">
      <w:pPr>
        <w:pStyle w:val="Prrafodelista"/>
        <w:numPr>
          <w:ilvl w:val="0"/>
          <w:numId w:val="11"/>
        </w:numPr>
        <w:ind w:right="-1"/>
        <w:rPr>
          <w:szCs w:val="24"/>
        </w:rPr>
      </w:pPr>
      <w:r w:rsidRPr="00042F25">
        <w:t>No</w:t>
      </w:r>
      <w:r w:rsidR="009144C2" w:rsidRPr="00042F25">
        <w:t>s índices de eficiência operacional</w:t>
      </w:r>
      <w:r w:rsidRPr="00042F25">
        <w:t>, há a principal preocupação de que os valores de perda</w:t>
      </w:r>
      <w:r w:rsidR="00F04DD3">
        <w:t>s</w:t>
      </w:r>
      <w:r w:rsidRPr="00042F25">
        <w:t xml:space="preserve"> ainda continuam elevados mesmo tendo melhorado ao longo do tempo, trazendo </w:t>
      </w:r>
      <w:r w:rsidR="00C47909" w:rsidRPr="00042F25">
        <w:rPr>
          <w:szCs w:val="24"/>
        </w:rPr>
        <w:t>prejuízos</w:t>
      </w:r>
      <w:r w:rsidRPr="00042F25">
        <w:rPr>
          <w:szCs w:val="24"/>
        </w:rPr>
        <w:t xml:space="preserve"> </w:t>
      </w:r>
      <w:r w:rsidR="00C47909" w:rsidRPr="00042F25">
        <w:rPr>
          <w:szCs w:val="24"/>
        </w:rPr>
        <w:t>socioeconômicos</w:t>
      </w:r>
      <w:r w:rsidR="0051139D">
        <w:rPr>
          <w:szCs w:val="24"/>
        </w:rPr>
        <w:t xml:space="preserve"> e ambientais e por isso exi</w:t>
      </w:r>
      <w:r w:rsidR="0051139D" w:rsidRPr="00F04DD3">
        <w:rPr>
          <w:szCs w:val="24"/>
        </w:rPr>
        <w:t>gindo</w:t>
      </w:r>
      <w:r w:rsidRPr="00042F25">
        <w:rPr>
          <w:szCs w:val="24"/>
        </w:rPr>
        <w:t xml:space="preserve"> uma atenção maior. Tais perdas representam desperdício de recurso</w:t>
      </w:r>
      <w:r w:rsidR="00836D09">
        <w:rPr>
          <w:szCs w:val="24"/>
        </w:rPr>
        <w:t>s</w:t>
      </w:r>
      <w:r w:rsidRPr="00042F25">
        <w:rPr>
          <w:szCs w:val="24"/>
        </w:rPr>
        <w:t xml:space="preserve"> hídrico</w:t>
      </w:r>
      <w:r w:rsidR="00836D09">
        <w:rPr>
          <w:szCs w:val="24"/>
        </w:rPr>
        <w:t>s</w:t>
      </w:r>
      <w:r w:rsidRPr="00042F25">
        <w:rPr>
          <w:szCs w:val="24"/>
        </w:rPr>
        <w:t>, que gera</w:t>
      </w:r>
      <w:r w:rsidR="00836D09">
        <w:rPr>
          <w:szCs w:val="24"/>
        </w:rPr>
        <w:t>m</w:t>
      </w:r>
      <w:r w:rsidRPr="00042F25">
        <w:rPr>
          <w:szCs w:val="24"/>
        </w:rPr>
        <w:t xml:space="preserve"> um aumento da produção de água para compensar essa ineficiência no sistema e consequentemente aumento da tarifa repassada ao consumidor, além do que, afeta a possibilidade de novos investimentos em saneamento, ou seja, essas perdas influenciam também outros indicadores importantes.</w:t>
      </w:r>
    </w:p>
    <w:p w14:paraId="1BF31CC7" w14:textId="66BC7A04" w:rsidR="009144C2" w:rsidRPr="00EA348F" w:rsidRDefault="009144C2" w:rsidP="00B30FF6">
      <w:pPr>
        <w:pStyle w:val="Prrafodelista"/>
        <w:numPr>
          <w:ilvl w:val="0"/>
          <w:numId w:val="11"/>
        </w:numPr>
      </w:pPr>
      <w:r w:rsidRPr="00EA348F">
        <w:t>Os índices de gestão corporativa</w:t>
      </w:r>
      <w:r w:rsidR="006040C9" w:rsidRPr="00EA348F">
        <w:t xml:space="preserve"> mostram que </w:t>
      </w:r>
      <w:r w:rsidR="00482F34" w:rsidRPr="00EA348F">
        <w:t>poucas</w:t>
      </w:r>
      <w:r w:rsidR="006040C9" w:rsidRPr="00EA348F">
        <w:t xml:space="preserve"> companhias são financeiramente</w:t>
      </w:r>
      <w:r w:rsidR="00DA1ED1">
        <w:t xml:space="preserve"> </w:t>
      </w:r>
      <w:r w:rsidR="006040C9" w:rsidRPr="00EA348F">
        <w:rPr>
          <w:b/>
        </w:rPr>
        <w:t>eficientes</w:t>
      </w:r>
      <w:r w:rsidR="006040C9" w:rsidRPr="00EA348F">
        <w:t>, não tendo</w:t>
      </w:r>
      <w:r w:rsidR="00482F34" w:rsidRPr="00EA348F">
        <w:t xml:space="preserve"> dinheiro suficiente para investimento</w:t>
      </w:r>
      <w:r w:rsidR="00DA1ED1">
        <w:t xml:space="preserve">, tendo em vista que em média para o 2015 o índice de suficiência de caixa e menor a 100% (91,26%), o grau de endividamento médio de 0,83 e </w:t>
      </w:r>
      <w:r w:rsidR="00CD6112">
        <w:t xml:space="preserve">o </w:t>
      </w:r>
      <w:r w:rsidR="00DA1ED1">
        <w:t xml:space="preserve">margem operacional sem depreciação </w:t>
      </w:r>
      <w:r w:rsidR="00CD6112">
        <w:t xml:space="preserve">e </w:t>
      </w:r>
      <w:r w:rsidR="00DA1ED1">
        <w:t xml:space="preserve">de apenas 17,72%. </w:t>
      </w:r>
    </w:p>
    <w:p w14:paraId="5B861CE6" w14:textId="77777777" w:rsidR="0049467F" w:rsidRPr="00042F25" w:rsidRDefault="0049467F" w:rsidP="0049467F">
      <w:pPr>
        <w:ind w:right="-1"/>
        <w:rPr>
          <w:szCs w:val="24"/>
        </w:rPr>
      </w:pPr>
    </w:p>
    <w:p w14:paraId="19FC4965" w14:textId="4A32A8A0" w:rsidR="00E94DF6" w:rsidRPr="00042F25" w:rsidRDefault="0049467F" w:rsidP="00245A0A">
      <w:pPr>
        <w:pStyle w:val="Ttulo1"/>
        <w:keepLines/>
        <w:pageBreakBefore w:val="0"/>
        <w:numPr>
          <w:ilvl w:val="0"/>
          <w:numId w:val="0"/>
        </w:numPr>
        <w:ind w:left="431"/>
      </w:pPr>
      <w:r w:rsidRPr="00042F25">
        <w:rPr>
          <w:b w:val="0"/>
          <w:bCs w:val="0"/>
          <w:caps w:val="0"/>
          <w:kern w:val="0"/>
          <w:sz w:val="24"/>
          <w:szCs w:val="22"/>
        </w:rPr>
        <w:br w:type="column"/>
      </w:r>
    </w:p>
    <w:bookmarkStart w:id="57" w:name="_Toc493094939" w:displacedByCustomXml="next"/>
    <w:sdt>
      <w:sdtPr>
        <w:rPr>
          <w:b w:val="0"/>
          <w:bCs w:val="0"/>
          <w:caps w:val="0"/>
          <w:kern w:val="0"/>
          <w:sz w:val="24"/>
          <w:szCs w:val="22"/>
        </w:rPr>
        <w:id w:val="855695024"/>
        <w:docPartObj>
          <w:docPartGallery w:val="Bibliographies"/>
          <w:docPartUnique/>
        </w:docPartObj>
      </w:sdtPr>
      <w:sdtContent>
        <w:p w14:paraId="7B757530" w14:textId="77777777" w:rsidR="00E94DF6" w:rsidRPr="00042F25" w:rsidRDefault="00E94DF6" w:rsidP="00245A0A">
          <w:pPr>
            <w:pStyle w:val="Ttulo1"/>
            <w:keepLines/>
            <w:pageBreakBefore w:val="0"/>
            <w:numPr>
              <w:ilvl w:val="0"/>
              <w:numId w:val="0"/>
            </w:numPr>
            <w:ind w:left="431"/>
          </w:pPr>
          <w:r w:rsidRPr="00042F25">
            <w:t>Referências</w:t>
          </w:r>
          <w:bookmarkEnd w:id="57"/>
        </w:p>
        <w:sdt>
          <w:sdtPr>
            <w:id w:val="-1624072758"/>
            <w:bibliography/>
          </w:sdtPr>
          <w:sdtContent>
            <w:p w14:paraId="0C69A211" w14:textId="54BEB0B8" w:rsidR="0016129F" w:rsidRPr="00042F25" w:rsidRDefault="0016129F" w:rsidP="00826129">
              <w:pPr>
                <w:pStyle w:val="Bibliografa"/>
                <w:keepNext/>
                <w:keepLines/>
                <w:ind w:left="720" w:hanging="720"/>
              </w:pPr>
              <w:r w:rsidRPr="00042F25">
                <w:t>MINISTÉRIO DAS CIDADES. Diagnóstico dos s</w:t>
              </w:r>
              <w:r w:rsidR="00826129" w:rsidRPr="00042F25">
                <w:t>erviços de água e esgotos – 2015</w:t>
              </w:r>
              <w:r w:rsidRPr="00042F25">
                <w:t>. Sistema Nacional de I</w:t>
              </w:r>
              <w:r w:rsidR="00826129" w:rsidRPr="00042F25">
                <w:t>nformações sobre Saneamento 2015. Disponível em: &lt;</w:t>
              </w:r>
              <w:r w:rsidRPr="00042F25">
                <w:t xml:space="preserve">http://www.snis.gov.br&gt;. Acesso em: </w:t>
              </w:r>
              <w:r w:rsidR="00C47909" w:rsidRPr="00042F25">
                <w:t>setembro</w:t>
              </w:r>
              <w:r w:rsidR="00826129" w:rsidRPr="00042F25">
                <w:t xml:space="preserve"> 2017</w:t>
              </w:r>
              <w:r w:rsidRPr="00042F25">
                <w:t>.</w:t>
              </w:r>
            </w:p>
            <w:p w14:paraId="2D95E947" w14:textId="33521B77" w:rsidR="00E94DF6" w:rsidRPr="00042F25" w:rsidRDefault="00D21F17" w:rsidP="0016129F">
              <w:pPr>
                <w:pStyle w:val="Bibliografa"/>
                <w:keepNext/>
                <w:keepLines/>
                <w:ind w:left="720" w:hanging="720"/>
              </w:pPr>
            </w:p>
          </w:sdtContent>
        </w:sdt>
      </w:sdtContent>
    </w:sdt>
    <w:sectPr w:rsidR="00E94DF6" w:rsidRPr="00042F25" w:rsidSect="001F727B">
      <w:headerReference w:type="default" r:id="rId10"/>
      <w:footerReference w:type="default" r:id="rId11"/>
      <w:footerReference w:type="first" r:id="rId12"/>
      <w:pgSz w:w="11906" w:h="16838"/>
      <w:pgMar w:top="1417" w:right="1701" w:bottom="1417" w:left="1701" w:header="1134"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20F4" w14:textId="77777777" w:rsidR="00BF1883" w:rsidRDefault="00BF1883" w:rsidP="001637D7">
      <w:r>
        <w:separator/>
      </w:r>
    </w:p>
    <w:p w14:paraId="771CE696" w14:textId="77777777" w:rsidR="00BF1883" w:rsidRDefault="00BF1883"/>
  </w:endnote>
  <w:endnote w:type="continuationSeparator" w:id="0">
    <w:p w14:paraId="2F638070" w14:textId="77777777" w:rsidR="00BF1883" w:rsidRDefault="00BF1883" w:rsidP="001637D7">
      <w:r>
        <w:continuationSeparator/>
      </w:r>
    </w:p>
    <w:p w14:paraId="174302D6" w14:textId="77777777" w:rsidR="00BF1883" w:rsidRDefault="00BF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MS PMinch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92381"/>
      <w:docPartObj>
        <w:docPartGallery w:val="Page Numbers (Bottom of Page)"/>
        <w:docPartUnique/>
      </w:docPartObj>
    </w:sdtPr>
    <w:sdtContent>
      <w:p w14:paraId="754E8A89" w14:textId="15B5DE8B" w:rsidR="00D21F17" w:rsidRDefault="00D21F17">
        <w:pPr>
          <w:pStyle w:val="Piedepgina"/>
          <w:jc w:val="right"/>
        </w:pPr>
        <w:r>
          <w:fldChar w:fldCharType="begin"/>
        </w:r>
        <w:r>
          <w:instrText>PAGE   \* MERGEFORMAT</w:instrText>
        </w:r>
        <w:r>
          <w:fldChar w:fldCharType="separate"/>
        </w:r>
        <w:r w:rsidR="00EA348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ED5F2" w14:textId="77777777" w:rsidR="00D21F17" w:rsidRPr="005F43E8" w:rsidRDefault="00D21F17" w:rsidP="005F43E8">
    <w:pPr>
      <w:pStyle w:val="Piedepgin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12524" w14:textId="77777777" w:rsidR="00BF1883" w:rsidRDefault="00BF1883" w:rsidP="001637D7">
      <w:r>
        <w:separator/>
      </w:r>
    </w:p>
    <w:p w14:paraId="2CFA8C54" w14:textId="77777777" w:rsidR="00BF1883" w:rsidRDefault="00BF1883"/>
  </w:footnote>
  <w:footnote w:type="continuationSeparator" w:id="0">
    <w:p w14:paraId="7537B151" w14:textId="77777777" w:rsidR="00BF1883" w:rsidRDefault="00BF1883" w:rsidP="001637D7">
      <w:r>
        <w:continuationSeparator/>
      </w:r>
    </w:p>
    <w:p w14:paraId="749A72E0" w14:textId="77777777" w:rsidR="00BF1883" w:rsidRDefault="00BF18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454A" w14:textId="77777777" w:rsidR="00D21F17" w:rsidRDefault="00D21F17" w:rsidP="001F727B">
    <w:pPr>
      <w:pStyle w:val="Encabezado"/>
      <w:pBdr>
        <w:bottom w:val="single" w:sz="12" w:space="1" w:color="C0CF3A" w:themeColor="accent3"/>
      </w:pBdr>
      <w:spacing w:before="100" w:after="600" w:afterAutospacing="0"/>
      <w:ind w:firstLine="0"/>
    </w:pPr>
    <w:r w:rsidRPr="0062023D">
      <w:rPr>
        <w:noProof/>
        <w:lang w:val="es-CO" w:eastAsia="es-CO"/>
      </w:rPr>
      <w:drawing>
        <wp:anchor distT="0" distB="0" distL="114300" distR="114300" simplePos="0" relativeHeight="251658240" behindDoc="1" locked="0" layoutInCell="1" allowOverlap="1" wp14:anchorId="3AC3AA32" wp14:editId="7F65186D">
          <wp:simplePos x="0" y="0"/>
          <wp:positionH relativeFrom="column">
            <wp:posOffset>-3810</wp:posOffset>
          </wp:positionH>
          <wp:positionV relativeFrom="paragraph">
            <wp:posOffset>-339090</wp:posOffset>
          </wp:positionV>
          <wp:extent cx="15621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lum bright="-20000" contrast="40000"/>
                    <a:extLst>
                      <a:ext uri="{28A0092B-C50C-407E-A947-70E740481C1C}">
                        <a14:useLocalDpi xmlns:a14="http://schemas.microsoft.com/office/drawing/2010/main" val="0"/>
                      </a:ext>
                    </a:extLst>
                  </a:blip>
                  <a:srcRect/>
                  <a:stretch>
                    <a:fillRect/>
                  </a:stretch>
                </pic:blipFill>
                <pic:spPr bwMode="auto">
                  <a:xfrm>
                    <a:off x="0" y="0"/>
                    <a:ext cx="1562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6D78"/>
    <w:multiLevelType w:val="hybridMultilevel"/>
    <w:tmpl w:val="A84E598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16421D74"/>
    <w:multiLevelType w:val="hybridMultilevel"/>
    <w:tmpl w:val="9E8CF58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nsid w:val="2C0B522E"/>
    <w:multiLevelType w:val="hybridMultilevel"/>
    <w:tmpl w:val="02D0367C"/>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3">
    <w:nsid w:val="32162C18"/>
    <w:multiLevelType w:val="hybridMultilevel"/>
    <w:tmpl w:val="A7A04062"/>
    <w:lvl w:ilvl="0" w:tplc="8256BA44">
      <w:start w:val="1"/>
      <w:numFmt w:val="lowerRoman"/>
      <w:lvlText w:val="%1."/>
      <w:lvlJc w:val="right"/>
      <w:pPr>
        <w:ind w:left="1571" w:hanging="360"/>
      </w:pPr>
      <w:rPr>
        <w:b/>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4">
    <w:nsid w:val="339C1D45"/>
    <w:multiLevelType w:val="multilevel"/>
    <w:tmpl w:val="3264A94A"/>
    <w:lvl w:ilvl="0">
      <w:start w:val="1"/>
      <w:numFmt w:val="decimal"/>
      <w:pStyle w:val="Ttulo1"/>
      <w:lvlText w:val="%1"/>
      <w:lvlJc w:val="left"/>
      <w:pPr>
        <w:ind w:left="432" w:hanging="432"/>
      </w:pPr>
    </w:lvl>
    <w:lvl w:ilvl="1">
      <w:start w:val="1"/>
      <w:numFmt w:val="decimal"/>
      <w:pStyle w:val="Ttulo2"/>
      <w:lvlText w:val="%1.%2"/>
      <w:lvlJc w:val="left"/>
      <w:pPr>
        <w:ind w:left="227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3FBD0653"/>
    <w:multiLevelType w:val="hybridMultilevel"/>
    <w:tmpl w:val="AF5E289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43E27433"/>
    <w:multiLevelType w:val="hybridMultilevel"/>
    <w:tmpl w:val="D750C1C2"/>
    <w:lvl w:ilvl="0" w:tplc="04160001">
      <w:start w:val="1"/>
      <w:numFmt w:val="bullet"/>
      <w:lvlText w:val=""/>
      <w:lvlJc w:val="left"/>
      <w:pPr>
        <w:ind w:left="2291" w:hanging="360"/>
      </w:pPr>
      <w:rPr>
        <w:rFonts w:ascii="Symbol" w:hAnsi="Symbol"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7">
    <w:nsid w:val="4AA00DBF"/>
    <w:multiLevelType w:val="hybridMultilevel"/>
    <w:tmpl w:val="338871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5F5A3878"/>
    <w:multiLevelType w:val="hybridMultilevel"/>
    <w:tmpl w:val="058AF7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1CA40A3"/>
    <w:multiLevelType w:val="hybridMultilevel"/>
    <w:tmpl w:val="E92CDD62"/>
    <w:lvl w:ilvl="0" w:tplc="7EAE4C84">
      <w:start w:val="1"/>
      <w:numFmt w:val="bullet"/>
      <w:pStyle w:val="Bullets"/>
      <w:lvlText w:val=""/>
      <w:lvlJc w:val="left"/>
      <w:pPr>
        <w:ind w:left="1800"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start w:val="1"/>
      <w:numFmt w:val="bullet"/>
      <w:lvlText w:val=""/>
      <w:lvlJc w:val="left"/>
      <w:pPr>
        <w:ind w:left="3960" w:hanging="360"/>
      </w:pPr>
      <w:rPr>
        <w:rFonts w:ascii="Symbol" w:hAnsi="Symbol" w:hint="default"/>
      </w:rPr>
    </w:lvl>
    <w:lvl w:ilvl="4" w:tplc="04160003">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nsid w:val="66811CCC"/>
    <w:multiLevelType w:val="hybridMultilevel"/>
    <w:tmpl w:val="A4D62138"/>
    <w:lvl w:ilvl="0" w:tplc="E340B05C">
      <w:start w:val="1"/>
      <w:numFmt w:val="lowerRoman"/>
      <w:lvlText w:val="%1)."/>
      <w:lvlJc w:val="left"/>
      <w:pPr>
        <w:ind w:left="1571" w:hanging="360"/>
      </w:pPr>
      <w:rPr>
        <w:rFonts w:hint="default"/>
      </w:rPr>
    </w:lvl>
    <w:lvl w:ilvl="1" w:tplc="E548AFB6">
      <w:start w:val="1"/>
      <w:numFmt w:val="lowerRoman"/>
      <w:pStyle w:val="Bulletsi"/>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7514E2C"/>
    <w:multiLevelType w:val="hybridMultilevel"/>
    <w:tmpl w:val="7E2CD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0BA66E6"/>
    <w:multiLevelType w:val="hybridMultilevel"/>
    <w:tmpl w:val="2586D5CE"/>
    <w:lvl w:ilvl="0" w:tplc="C57CC8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64548F"/>
    <w:multiLevelType w:val="hybridMultilevel"/>
    <w:tmpl w:val="92D2E780"/>
    <w:lvl w:ilvl="0" w:tplc="0416001B">
      <w:start w:val="1"/>
      <w:numFmt w:val="low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4"/>
  </w:num>
  <w:num w:numId="2">
    <w:abstractNumId w:val="10"/>
  </w:num>
  <w:num w:numId="3">
    <w:abstractNumId w:val="9"/>
  </w:num>
  <w:num w:numId="4">
    <w:abstractNumId w:val="5"/>
  </w:num>
  <w:num w:numId="5">
    <w:abstractNumId w:val="8"/>
  </w:num>
  <w:num w:numId="6">
    <w:abstractNumId w:val="12"/>
  </w:num>
  <w:num w:numId="7">
    <w:abstractNumId w:val="2"/>
  </w:num>
  <w:num w:numId="8">
    <w:abstractNumId w:val="6"/>
  </w:num>
  <w:num w:numId="9">
    <w:abstractNumId w:val="0"/>
  </w:num>
  <w:num w:numId="10">
    <w:abstractNumId w:val="7"/>
  </w:num>
  <w:num w:numId="11">
    <w:abstractNumId w:val="13"/>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E0"/>
    <w:rsid w:val="0000065D"/>
    <w:rsid w:val="00000C00"/>
    <w:rsid w:val="00000E8F"/>
    <w:rsid w:val="0000153F"/>
    <w:rsid w:val="00001619"/>
    <w:rsid w:val="000019CA"/>
    <w:rsid w:val="00001BC3"/>
    <w:rsid w:val="0000271A"/>
    <w:rsid w:val="00002A49"/>
    <w:rsid w:val="000032BC"/>
    <w:rsid w:val="000033D6"/>
    <w:rsid w:val="00003A97"/>
    <w:rsid w:val="00003B5A"/>
    <w:rsid w:val="00004336"/>
    <w:rsid w:val="00004443"/>
    <w:rsid w:val="00004BCA"/>
    <w:rsid w:val="00005D41"/>
    <w:rsid w:val="000069CE"/>
    <w:rsid w:val="00006A2A"/>
    <w:rsid w:val="00007E48"/>
    <w:rsid w:val="0001004E"/>
    <w:rsid w:val="00010843"/>
    <w:rsid w:val="0001086E"/>
    <w:rsid w:val="00010BF4"/>
    <w:rsid w:val="00010F1B"/>
    <w:rsid w:val="0001123F"/>
    <w:rsid w:val="000115CC"/>
    <w:rsid w:val="000121C3"/>
    <w:rsid w:val="000125DE"/>
    <w:rsid w:val="000126D1"/>
    <w:rsid w:val="00012CAF"/>
    <w:rsid w:val="000134F9"/>
    <w:rsid w:val="0001351C"/>
    <w:rsid w:val="00013E1B"/>
    <w:rsid w:val="000145B8"/>
    <w:rsid w:val="0001462B"/>
    <w:rsid w:val="00014AF2"/>
    <w:rsid w:val="00014AF4"/>
    <w:rsid w:val="00014B05"/>
    <w:rsid w:val="00015464"/>
    <w:rsid w:val="0001583D"/>
    <w:rsid w:val="00015A79"/>
    <w:rsid w:val="00016255"/>
    <w:rsid w:val="00016476"/>
    <w:rsid w:val="00016875"/>
    <w:rsid w:val="00016A97"/>
    <w:rsid w:val="000170E8"/>
    <w:rsid w:val="00020821"/>
    <w:rsid w:val="00020EB4"/>
    <w:rsid w:val="00021A2E"/>
    <w:rsid w:val="00023A6C"/>
    <w:rsid w:val="00023B2A"/>
    <w:rsid w:val="000247AD"/>
    <w:rsid w:val="000249C7"/>
    <w:rsid w:val="00024EA5"/>
    <w:rsid w:val="000252CA"/>
    <w:rsid w:val="00025500"/>
    <w:rsid w:val="00026D8D"/>
    <w:rsid w:val="00027485"/>
    <w:rsid w:val="00027B81"/>
    <w:rsid w:val="00027EF5"/>
    <w:rsid w:val="0003003E"/>
    <w:rsid w:val="000302C8"/>
    <w:rsid w:val="000308DC"/>
    <w:rsid w:val="00031449"/>
    <w:rsid w:val="000314C0"/>
    <w:rsid w:val="00031AA7"/>
    <w:rsid w:val="00032E10"/>
    <w:rsid w:val="000349B5"/>
    <w:rsid w:val="000353DA"/>
    <w:rsid w:val="000360D8"/>
    <w:rsid w:val="00036230"/>
    <w:rsid w:val="000366FC"/>
    <w:rsid w:val="00037D10"/>
    <w:rsid w:val="00037E82"/>
    <w:rsid w:val="00037FBC"/>
    <w:rsid w:val="000415F4"/>
    <w:rsid w:val="00041693"/>
    <w:rsid w:val="00041D36"/>
    <w:rsid w:val="000422B6"/>
    <w:rsid w:val="00042361"/>
    <w:rsid w:val="000427C3"/>
    <w:rsid w:val="00042F25"/>
    <w:rsid w:val="0004352B"/>
    <w:rsid w:val="000435A2"/>
    <w:rsid w:val="00044224"/>
    <w:rsid w:val="00044A73"/>
    <w:rsid w:val="00044E65"/>
    <w:rsid w:val="00046B37"/>
    <w:rsid w:val="000470D9"/>
    <w:rsid w:val="00047AC3"/>
    <w:rsid w:val="000508CD"/>
    <w:rsid w:val="00050C92"/>
    <w:rsid w:val="0005125D"/>
    <w:rsid w:val="00051E7D"/>
    <w:rsid w:val="0005238C"/>
    <w:rsid w:val="000555F8"/>
    <w:rsid w:val="00055876"/>
    <w:rsid w:val="00055B8F"/>
    <w:rsid w:val="00055C39"/>
    <w:rsid w:val="000566D7"/>
    <w:rsid w:val="00056728"/>
    <w:rsid w:val="00056840"/>
    <w:rsid w:val="000573F1"/>
    <w:rsid w:val="00057971"/>
    <w:rsid w:val="00057A3C"/>
    <w:rsid w:val="00060549"/>
    <w:rsid w:val="00061933"/>
    <w:rsid w:val="00062AD9"/>
    <w:rsid w:val="00062DE2"/>
    <w:rsid w:val="00063237"/>
    <w:rsid w:val="0006388E"/>
    <w:rsid w:val="000646E7"/>
    <w:rsid w:val="000649D6"/>
    <w:rsid w:val="000663FD"/>
    <w:rsid w:val="000665EB"/>
    <w:rsid w:val="0006716C"/>
    <w:rsid w:val="0006748E"/>
    <w:rsid w:val="000727AC"/>
    <w:rsid w:val="00072BB9"/>
    <w:rsid w:val="00072DA3"/>
    <w:rsid w:val="00073B8D"/>
    <w:rsid w:val="00074856"/>
    <w:rsid w:val="000748E1"/>
    <w:rsid w:val="00074D82"/>
    <w:rsid w:val="0007544A"/>
    <w:rsid w:val="000754C4"/>
    <w:rsid w:val="00075B58"/>
    <w:rsid w:val="00076BCF"/>
    <w:rsid w:val="00076E4C"/>
    <w:rsid w:val="000779D8"/>
    <w:rsid w:val="00077A8D"/>
    <w:rsid w:val="00080BE8"/>
    <w:rsid w:val="000823AD"/>
    <w:rsid w:val="000829DC"/>
    <w:rsid w:val="000831BE"/>
    <w:rsid w:val="0008332B"/>
    <w:rsid w:val="00083400"/>
    <w:rsid w:val="000837FD"/>
    <w:rsid w:val="00083A2B"/>
    <w:rsid w:val="00085655"/>
    <w:rsid w:val="00086352"/>
    <w:rsid w:val="0008708D"/>
    <w:rsid w:val="000877D1"/>
    <w:rsid w:val="00087E18"/>
    <w:rsid w:val="00090769"/>
    <w:rsid w:val="000907BB"/>
    <w:rsid w:val="00090871"/>
    <w:rsid w:val="00091215"/>
    <w:rsid w:val="00092675"/>
    <w:rsid w:val="000927A8"/>
    <w:rsid w:val="0009303F"/>
    <w:rsid w:val="00093082"/>
    <w:rsid w:val="000931B4"/>
    <w:rsid w:val="0009363E"/>
    <w:rsid w:val="000938BE"/>
    <w:rsid w:val="00093FF1"/>
    <w:rsid w:val="000949F7"/>
    <w:rsid w:val="00095BD2"/>
    <w:rsid w:val="000965F7"/>
    <w:rsid w:val="000969B4"/>
    <w:rsid w:val="00097A36"/>
    <w:rsid w:val="000A04D3"/>
    <w:rsid w:val="000A055B"/>
    <w:rsid w:val="000A0DFB"/>
    <w:rsid w:val="000A20CC"/>
    <w:rsid w:val="000A26DA"/>
    <w:rsid w:val="000A30E5"/>
    <w:rsid w:val="000A4045"/>
    <w:rsid w:val="000A5277"/>
    <w:rsid w:val="000A546A"/>
    <w:rsid w:val="000A65E5"/>
    <w:rsid w:val="000A6694"/>
    <w:rsid w:val="000A7571"/>
    <w:rsid w:val="000A79DD"/>
    <w:rsid w:val="000B00DF"/>
    <w:rsid w:val="000B098C"/>
    <w:rsid w:val="000B0E30"/>
    <w:rsid w:val="000B13B6"/>
    <w:rsid w:val="000B1F86"/>
    <w:rsid w:val="000B2545"/>
    <w:rsid w:val="000B312F"/>
    <w:rsid w:val="000B36AC"/>
    <w:rsid w:val="000B4033"/>
    <w:rsid w:val="000B41D9"/>
    <w:rsid w:val="000B4A06"/>
    <w:rsid w:val="000B534F"/>
    <w:rsid w:val="000B5799"/>
    <w:rsid w:val="000B6E1C"/>
    <w:rsid w:val="000B7419"/>
    <w:rsid w:val="000B7D05"/>
    <w:rsid w:val="000C1563"/>
    <w:rsid w:val="000C1E60"/>
    <w:rsid w:val="000C1E89"/>
    <w:rsid w:val="000C2139"/>
    <w:rsid w:val="000C2771"/>
    <w:rsid w:val="000C2842"/>
    <w:rsid w:val="000C3523"/>
    <w:rsid w:val="000C3BB0"/>
    <w:rsid w:val="000C3CD5"/>
    <w:rsid w:val="000C3D47"/>
    <w:rsid w:val="000C4CB4"/>
    <w:rsid w:val="000C4FD3"/>
    <w:rsid w:val="000C530C"/>
    <w:rsid w:val="000C53C9"/>
    <w:rsid w:val="000C5951"/>
    <w:rsid w:val="000C6A13"/>
    <w:rsid w:val="000C7957"/>
    <w:rsid w:val="000C7AC7"/>
    <w:rsid w:val="000D0630"/>
    <w:rsid w:val="000D0855"/>
    <w:rsid w:val="000D0A8A"/>
    <w:rsid w:val="000D0FDB"/>
    <w:rsid w:val="000D10CF"/>
    <w:rsid w:val="000D1A17"/>
    <w:rsid w:val="000D1CD1"/>
    <w:rsid w:val="000D2C48"/>
    <w:rsid w:val="000D2EBC"/>
    <w:rsid w:val="000D3432"/>
    <w:rsid w:val="000D354B"/>
    <w:rsid w:val="000D3818"/>
    <w:rsid w:val="000D3903"/>
    <w:rsid w:val="000D3942"/>
    <w:rsid w:val="000D395A"/>
    <w:rsid w:val="000D42B8"/>
    <w:rsid w:val="000D4666"/>
    <w:rsid w:val="000D4C22"/>
    <w:rsid w:val="000D5F5A"/>
    <w:rsid w:val="000D6011"/>
    <w:rsid w:val="000D6C8B"/>
    <w:rsid w:val="000E0393"/>
    <w:rsid w:val="000E0629"/>
    <w:rsid w:val="000E0C93"/>
    <w:rsid w:val="000E118D"/>
    <w:rsid w:val="000E1418"/>
    <w:rsid w:val="000E17C3"/>
    <w:rsid w:val="000E1DFD"/>
    <w:rsid w:val="000E2208"/>
    <w:rsid w:val="000E255B"/>
    <w:rsid w:val="000E2CC1"/>
    <w:rsid w:val="000E3908"/>
    <w:rsid w:val="000E3E59"/>
    <w:rsid w:val="000E47D7"/>
    <w:rsid w:val="000E4CE3"/>
    <w:rsid w:val="000E4EFA"/>
    <w:rsid w:val="000E5333"/>
    <w:rsid w:val="000E60DD"/>
    <w:rsid w:val="000E62BC"/>
    <w:rsid w:val="000E74B0"/>
    <w:rsid w:val="000E78DE"/>
    <w:rsid w:val="000E7DA6"/>
    <w:rsid w:val="000F045D"/>
    <w:rsid w:val="000F0EE9"/>
    <w:rsid w:val="000F1B35"/>
    <w:rsid w:val="000F1CC1"/>
    <w:rsid w:val="000F21A0"/>
    <w:rsid w:val="000F2E19"/>
    <w:rsid w:val="000F3117"/>
    <w:rsid w:val="000F314A"/>
    <w:rsid w:val="000F4052"/>
    <w:rsid w:val="000F4255"/>
    <w:rsid w:val="000F42FF"/>
    <w:rsid w:val="000F6798"/>
    <w:rsid w:val="000F6FFD"/>
    <w:rsid w:val="000F72DF"/>
    <w:rsid w:val="000F7EC6"/>
    <w:rsid w:val="000F7FF4"/>
    <w:rsid w:val="0010002B"/>
    <w:rsid w:val="00100877"/>
    <w:rsid w:val="001010E4"/>
    <w:rsid w:val="00101915"/>
    <w:rsid w:val="0010222E"/>
    <w:rsid w:val="00104477"/>
    <w:rsid w:val="00104AD3"/>
    <w:rsid w:val="00105067"/>
    <w:rsid w:val="0010519B"/>
    <w:rsid w:val="0010584A"/>
    <w:rsid w:val="001060FB"/>
    <w:rsid w:val="00106894"/>
    <w:rsid w:val="00107210"/>
    <w:rsid w:val="00110028"/>
    <w:rsid w:val="0011013D"/>
    <w:rsid w:val="001101D9"/>
    <w:rsid w:val="00110DF0"/>
    <w:rsid w:val="00111511"/>
    <w:rsid w:val="001117BD"/>
    <w:rsid w:val="00111CC1"/>
    <w:rsid w:val="001120C9"/>
    <w:rsid w:val="001132D0"/>
    <w:rsid w:val="00114887"/>
    <w:rsid w:val="00114CDA"/>
    <w:rsid w:val="001152F7"/>
    <w:rsid w:val="00115DE9"/>
    <w:rsid w:val="001160AA"/>
    <w:rsid w:val="00116C9A"/>
    <w:rsid w:val="0011704D"/>
    <w:rsid w:val="00117648"/>
    <w:rsid w:val="00117BE1"/>
    <w:rsid w:val="00120B19"/>
    <w:rsid w:val="00121068"/>
    <w:rsid w:val="001221E9"/>
    <w:rsid w:val="001230FC"/>
    <w:rsid w:val="00123224"/>
    <w:rsid w:val="0012323C"/>
    <w:rsid w:val="0012325C"/>
    <w:rsid w:val="001234A3"/>
    <w:rsid w:val="00123836"/>
    <w:rsid w:val="00123A08"/>
    <w:rsid w:val="00123D5F"/>
    <w:rsid w:val="001245C0"/>
    <w:rsid w:val="00124962"/>
    <w:rsid w:val="001250FA"/>
    <w:rsid w:val="00125BA7"/>
    <w:rsid w:val="00126253"/>
    <w:rsid w:val="0012785C"/>
    <w:rsid w:val="001315DD"/>
    <w:rsid w:val="00131719"/>
    <w:rsid w:val="0013188A"/>
    <w:rsid w:val="00131C73"/>
    <w:rsid w:val="00132080"/>
    <w:rsid w:val="001323DA"/>
    <w:rsid w:val="001327CD"/>
    <w:rsid w:val="00133214"/>
    <w:rsid w:val="0013336C"/>
    <w:rsid w:val="001335AD"/>
    <w:rsid w:val="00133D39"/>
    <w:rsid w:val="001341C2"/>
    <w:rsid w:val="00134E16"/>
    <w:rsid w:val="0013510D"/>
    <w:rsid w:val="001355DE"/>
    <w:rsid w:val="00135AC2"/>
    <w:rsid w:val="0013608A"/>
    <w:rsid w:val="00136CDC"/>
    <w:rsid w:val="0013731E"/>
    <w:rsid w:val="001376C0"/>
    <w:rsid w:val="00137B43"/>
    <w:rsid w:val="00137DE6"/>
    <w:rsid w:val="001400F4"/>
    <w:rsid w:val="0014061C"/>
    <w:rsid w:val="00140769"/>
    <w:rsid w:val="00140DF2"/>
    <w:rsid w:val="00140F00"/>
    <w:rsid w:val="0014137F"/>
    <w:rsid w:val="00141508"/>
    <w:rsid w:val="00141741"/>
    <w:rsid w:val="001419CB"/>
    <w:rsid w:val="00141BA8"/>
    <w:rsid w:val="00141F90"/>
    <w:rsid w:val="0014281E"/>
    <w:rsid w:val="00143F57"/>
    <w:rsid w:val="0014571C"/>
    <w:rsid w:val="0014590A"/>
    <w:rsid w:val="0014600A"/>
    <w:rsid w:val="0014601E"/>
    <w:rsid w:val="00146208"/>
    <w:rsid w:val="00147085"/>
    <w:rsid w:val="00147424"/>
    <w:rsid w:val="00150326"/>
    <w:rsid w:val="00150555"/>
    <w:rsid w:val="00150909"/>
    <w:rsid w:val="0015090B"/>
    <w:rsid w:val="001512A0"/>
    <w:rsid w:val="0015150C"/>
    <w:rsid w:val="001516D4"/>
    <w:rsid w:val="0015190F"/>
    <w:rsid w:val="001520E1"/>
    <w:rsid w:val="00152295"/>
    <w:rsid w:val="00152357"/>
    <w:rsid w:val="00152969"/>
    <w:rsid w:val="00152F2E"/>
    <w:rsid w:val="001533EE"/>
    <w:rsid w:val="00153522"/>
    <w:rsid w:val="00154BFE"/>
    <w:rsid w:val="001554C4"/>
    <w:rsid w:val="001556BD"/>
    <w:rsid w:val="0015596D"/>
    <w:rsid w:val="00156194"/>
    <w:rsid w:val="00156589"/>
    <w:rsid w:val="001567F9"/>
    <w:rsid w:val="001571A1"/>
    <w:rsid w:val="00157212"/>
    <w:rsid w:val="0015739B"/>
    <w:rsid w:val="00157A01"/>
    <w:rsid w:val="00160BA9"/>
    <w:rsid w:val="0016129F"/>
    <w:rsid w:val="001615E0"/>
    <w:rsid w:val="00162AE4"/>
    <w:rsid w:val="00163735"/>
    <w:rsid w:val="001637D7"/>
    <w:rsid w:val="0016393A"/>
    <w:rsid w:val="00163B44"/>
    <w:rsid w:val="001643BD"/>
    <w:rsid w:val="00164A96"/>
    <w:rsid w:val="00165CEF"/>
    <w:rsid w:val="00165EF5"/>
    <w:rsid w:val="001664C7"/>
    <w:rsid w:val="00166A33"/>
    <w:rsid w:val="00167120"/>
    <w:rsid w:val="0016763B"/>
    <w:rsid w:val="00167820"/>
    <w:rsid w:val="0017002C"/>
    <w:rsid w:val="00170410"/>
    <w:rsid w:val="00171F87"/>
    <w:rsid w:val="0017227D"/>
    <w:rsid w:val="00172372"/>
    <w:rsid w:val="00172668"/>
    <w:rsid w:val="001726B0"/>
    <w:rsid w:val="001726BB"/>
    <w:rsid w:val="00173715"/>
    <w:rsid w:val="001739CC"/>
    <w:rsid w:val="00173B0A"/>
    <w:rsid w:val="001749A1"/>
    <w:rsid w:val="00175647"/>
    <w:rsid w:val="0017571C"/>
    <w:rsid w:val="00175973"/>
    <w:rsid w:val="00177DD6"/>
    <w:rsid w:val="00177EE2"/>
    <w:rsid w:val="00180075"/>
    <w:rsid w:val="00180531"/>
    <w:rsid w:val="001809F6"/>
    <w:rsid w:val="00180CFD"/>
    <w:rsid w:val="001811FD"/>
    <w:rsid w:val="001822B9"/>
    <w:rsid w:val="001824F5"/>
    <w:rsid w:val="00182648"/>
    <w:rsid w:val="00183165"/>
    <w:rsid w:val="0018369A"/>
    <w:rsid w:val="00183766"/>
    <w:rsid w:val="00183EE8"/>
    <w:rsid w:val="00184BD0"/>
    <w:rsid w:val="00184C13"/>
    <w:rsid w:val="00185930"/>
    <w:rsid w:val="00185D1C"/>
    <w:rsid w:val="00186107"/>
    <w:rsid w:val="00186BE8"/>
    <w:rsid w:val="00187027"/>
    <w:rsid w:val="0019050C"/>
    <w:rsid w:val="001916BD"/>
    <w:rsid w:val="00191883"/>
    <w:rsid w:val="00192D03"/>
    <w:rsid w:val="00193D51"/>
    <w:rsid w:val="0019493B"/>
    <w:rsid w:val="00194B75"/>
    <w:rsid w:val="001958CC"/>
    <w:rsid w:val="001958E4"/>
    <w:rsid w:val="00196EDC"/>
    <w:rsid w:val="001A12D1"/>
    <w:rsid w:val="001A2150"/>
    <w:rsid w:val="001A216D"/>
    <w:rsid w:val="001A21AD"/>
    <w:rsid w:val="001A24FF"/>
    <w:rsid w:val="001A2D45"/>
    <w:rsid w:val="001A32DC"/>
    <w:rsid w:val="001A3660"/>
    <w:rsid w:val="001A39DB"/>
    <w:rsid w:val="001A3B5A"/>
    <w:rsid w:val="001A5712"/>
    <w:rsid w:val="001A67F5"/>
    <w:rsid w:val="001A7321"/>
    <w:rsid w:val="001A7418"/>
    <w:rsid w:val="001A7D2A"/>
    <w:rsid w:val="001A7FC8"/>
    <w:rsid w:val="001B0369"/>
    <w:rsid w:val="001B0453"/>
    <w:rsid w:val="001B09FD"/>
    <w:rsid w:val="001B1728"/>
    <w:rsid w:val="001B3286"/>
    <w:rsid w:val="001B3CBC"/>
    <w:rsid w:val="001B4076"/>
    <w:rsid w:val="001B564F"/>
    <w:rsid w:val="001B5DA7"/>
    <w:rsid w:val="001B5F38"/>
    <w:rsid w:val="001B69AD"/>
    <w:rsid w:val="001B6B11"/>
    <w:rsid w:val="001B6EE4"/>
    <w:rsid w:val="001B7555"/>
    <w:rsid w:val="001B7925"/>
    <w:rsid w:val="001B7A63"/>
    <w:rsid w:val="001B7DC4"/>
    <w:rsid w:val="001C0334"/>
    <w:rsid w:val="001C0452"/>
    <w:rsid w:val="001C0A19"/>
    <w:rsid w:val="001C0CD1"/>
    <w:rsid w:val="001C1684"/>
    <w:rsid w:val="001C17D9"/>
    <w:rsid w:val="001C21AF"/>
    <w:rsid w:val="001C21E2"/>
    <w:rsid w:val="001C27AB"/>
    <w:rsid w:val="001C37F0"/>
    <w:rsid w:val="001C3D33"/>
    <w:rsid w:val="001C42D3"/>
    <w:rsid w:val="001C46C9"/>
    <w:rsid w:val="001C4A36"/>
    <w:rsid w:val="001C4E7B"/>
    <w:rsid w:val="001C63FE"/>
    <w:rsid w:val="001C6996"/>
    <w:rsid w:val="001C70B2"/>
    <w:rsid w:val="001C72E3"/>
    <w:rsid w:val="001C7E86"/>
    <w:rsid w:val="001D09B7"/>
    <w:rsid w:val="001D0CC2"/>
    <w:rsid w:val="001D0EDF"/>
    <w:rsid w:val="001D1F63"/>
    <w:rsid w:val="001D22EE"/>
    <w:rsid w:val="001D2EFE"/>
    <w:rsid w:val="001D3624"/>
    <w:rsid w:val="001D3ACB"/>
    <w:rsid w:val="001D4605"/>
    <w:rsid w:val="001D4D3E"/>
    <w:rsid w:val="001D4EDB"/>
    <w:rsid w:val="001D4EFC"/>
    <w:rsid w:val="001D5607"/>
    <w:rsid w:val="001D589A"/>
    <w:rsid w:val="001D5E16"/>
    <w:rsid w:val="001D5E8A"/>
    <w:rsid w:val="001D5E91"/>
    <w:rsid w:val="001D7A8D"/>
    <w:rsid w:val="001E0266"/>
    <w:rsid w:val="001E165B"/>
    <w:rsid w:val="001E1C6B"/>
    <w:rsid w:val="001E1F40"/>
    <w:rsid w:val="001E1F92"/>
    <w:rsid w:val="001E21CC"/>
    <w:rsid w:val="001E2466"/>
    <w:rsid w:val="001E372D"/>
    <w:rsid w:val="001E3AA5"/>
    <w:rsid w:val="001E407C"/>
    <w:rsid w:val="001E58B2"/>
    <w:rsid w:val="001E60F4"/>
    <w:rsid w:val="001E7F3A"/>
    <w:rsid w:val="001F05D4"/>
    <w:rsid w:val="001F137B"/>
    <w:rsid w:val="001F1C69"/>
    <w:rsid w:val="001F21F0"/>
    <w:rsid w:val="001F2398"/>
    <w:rsid w:val="001F3DC3"/>
    <w:rsid w:val="001F647E"/>
    <w:rsid w:val="001F727B"/>
    <w:rsid w:val="00200434"/>
    <w:rsid w:val="00200828"/>
    <w:rsid w:val="00201CA5"/>
    <w:rsid w:val="00202E2F"/>
    <w:rsid w:val="00202F83"/>
    <w:rsid w:val="002032AB"/>
    <w:rsid w:val="002034DB"/>
    <w:rsid w:val="0020433D"/>
    <w:rsid w:val="00205390"/>
    <w:rsid w:val="00205B03"/>
    <w:rsid w:val="00205C88"/>
    <w:rsid w:val="00205F00"/>
    <w:rsid w:val="002078B9"/>
    <w:rsid w:val="00207B4F"/>
    <w:rsid w:val="00210E85"/>
    <w:rsid w:val="00211069"/>
    <w:rsid w:val="00211630"/>
    <w:rsid w:val="0021218F"/>
    <w:rsid w:val="00212419"/>
    <w:rsid w:val="002125C3"/>
    <w:rsid w:val="00212BF7"/>
    <w:rsid w:val="00212F1E"/>
    <w:rsid w:val="00213368"/>
    <w:rsid w:val="00213B90"/>
    <w:rsid w:val="00213CA1"/>
    <w:rsid w:val="00213F6D"/>
    <w:rsid w:val="002146BE"/>
    <w:rsid w:val="00214B39"/>
    <w:rsid w:val="00214B5A"/>
    <w:rsid w:val="00214D4B"/>
    <w:rsid w:val="00215100"/>
    <w:rsid w:val="0021551D"/>
    <w:rsid w:val="00215B31"/>
    <w:rsid w:val="00215B3F"/>
    <w:rsid w:val="00216031"/>
    <w:rsid w:val="002167AF"/>
    <w:rsid w:val="00216A38"/>
    <w:rsid w:val="00216D74"/>
    <w:rsid w:val="002201E1"/>
    <w:rsid w:val="002206B2"/>
    <w:rsid w:val="00220F46"/>
    <w:rsid w:val="00221720"/>
    <w:rsid w:val="00221AA3"/>
    <w:rsid w:val="00223131"/>
    <w:rsid w:val="00226490"/>
    <w:rsid w:val="00226AC2"/>
    <w:rsid w:val="002271BA"/>
    <w:rsid w:val="00227656"/>
    <w:rsid w:val="002304D1"/>
    <w:rsid w:val="00230D1E"/>
    <w:rsid w:val="002311ED"/>
    <w:rsid w:val="00231478"/>
    <w:rsid w:val="00232491"/>
    <w:rsid w:val="002328C4"/>
    <w:rsid w:val="002328E1"/>
    <w:rsid w:val="00232AF0"/>
    <w:rsid w:val="00232DDC"/>
    <w:rsid w:val="00233140"/>
    <w:rsid w:val="002332D1"/>
    <w:rsid w:val="0023340C"/>
    <w:rsid w:val="002337F9"/>
    <w:rsid w:val="002344B1"/>
    <w:rsid w:val="00234646"/>
    <w:rsid w:val="0023555D"/>
    <w:rsid w:val="00235FD5"/>
    <w:rsid w:val="002360C8"/>
    <w:rsid w:val="00236146"/>
    <w:rsid w:val="0023618B"/>
    <w:rsid w:val="002364AA"/>
    <w:rsid w:val="0023663D"/>
    <w:rsid w:val="002376C1"/>
    <w:rsid w:val="00237E82"/>
    <w:rsid w:val="00240B04"/>
    <w:rsid w:val="00240D06"/>
    <w:rsid w:val="00240EFF"/>
    <w:rsid w:val="0024152B"/>
    <w:rsid w:val="00241E70"/>
    <w:rsid w:val="0024207B"/>
    <w:rsid w:val="002434A5"/>
    <w:rsid w:val="00243C03"/>
    <w:rsid w:val="00244496"/>
    <w:rsid w:val="00244BEA"/>
    <w:rsid w:val="00244CF9"/>
    <w:rsid w:val="0024511D"/>
    <w:rsid w:val="002454B7"/>
    <w:rsid w:val="00245A0A"/>
    <w:rsid w:val="0024632E"/>
    <w:rsid w:val="00246F68"/>
    <w:rsid w:val="00247C64"/>
    <w:rsid w:val="00251472"/>
    <w:rsid w:val="00251555"/>
    <w:rsid w:val="00251880"/>
    <w:rsid w:val="00251FE6"/>
    <w:rsid w:val="002520D3"/>
    <w:rsid w:val="002536A2"/>
    <w:rsid w:val="0025403D"/>
    <w:rsid w:val="00254892"/>
    <w:rsid w:val="00256241"/>
    <w:rsid w:val="00256D11"/>
    <w:rsid w:val="00256ED2"/>
    <w:rsid w:val="00260117"/>
    <w:rsid w:val="002604D8"/>
    <w:rsid w:val="00261E19"/>
    <w:rsid w:val="00261E20"/>
    <w:rsid w:val="00261E5A"/>
    <w:rsid w:val="00261F5D"/>
    <w:rsid w:val="002627AD"/>
    <w:rsid w:val="00263B9D"/>
    <w:rsid w:val="00265061"/>
    <w:rsid w:val="0026558A"/>
    <w:rsid w:val="00265763"/>
    <w:rsid w:val="00265C86"/>
    <w:rsid w:val="00266CC5"/>
    <w:rsid w:val="002670AA"/>
    <w:rsid w:val="00270DF3"/>
    <w:rsid w:val="00270EE3"/>
    <w:rsid w:val="00271618"/>
    <w:rsid w:val="00272793"/>
    <w:rsid w:val="002727EE"/>
    <w:rsid w:val="00272E2B"/>
    <w:rsid w:val="002731DA"/>
    <w:rsid w:val="00274E01"/>
    <w:rsid w:val="0027599E"/>
    <w:rsid w:val="00276507"/>
    <w:rsid w:val="00276755"/>
    <w:rsid w:val="00277675"/>
    <w:rsid w:val="00277A38"/>
    <w:rsid w:val="00280A86"/>
    <w:rsid w:val="00280C9F"/>
    <w:rsid w:val="002812BB"/>
    <w:rsid w:val="002813C4"/>
    <w:rsid w:val="002819AF"/>
    <w:rsid w:val="00282749"/>
    <w:rsid w:val="002828E0"/>
    <w:rsid w:val="002829B9"/>
    <w:rsid w:val="002833FA"/>
    <w:rsid w:val="002837E2"/>
    <w:rsid w:val="00283ED6"/>
    <w:rsid w:val="0028421F"/>
    <w:rsid w:val="00285255"/>
    <w:rsid w:val="00285639"/>
    <w:rsid w:val="00285A03"/>
    <w:rsid w:val="0028620C"/>
    <w:rsid w:val="00286CA0"/>
    <w:rsid w:val="002870FB"/>
    <w:rsid w:val="00287B8B"/>
    <w:rsid w:val="00287D30"/>
    <w:rsid w:val="00290C9B"/>
    <w:rsid w:val="00290E17"/>
    <w:rsid w:val="00291A79"/>
    <w:rsid w:val="002923CC"/>
    <w:rsid w:val="00292749"/>
    <w:rsid w:val="00292906"/>
    <w:rsid w:val="00293B61"/>
    <w:rsid w:val="002962D1"/>
    <w:rsid w:val="002969E2"/>
    <w:rsid w:val="002A008B"/>
    <w:rsid w:val="002A0939"/>
    <w:rsid w:val="002A0FF9"/>
    <w:rsid w:val="002A1018"/>
    <w:rsid w:val="002A1408"/>
    <w:rsid w:val="002A1C58"/>
    <w:rsid w:val="002A1DDB"/>
    <w:rsid w:val="002A2220"/>
    <w:rsid w:val="002A27E5"/>
    <w:rsid w:val="002A2F86"/>
    <w:rsid w:val="002A30A4"/>
    <w:rsid w:val="002A422C"/>
    <w:rsid w:val="002A4334"/>
    <w:rsid w:val="002A4D9B"/>
    <w:rsid w:val="002A4F02"/>
    <w:rsid w:val="002A5B30"/>
    <w:rsid w:val="002A5DD5"/>
    <w:rsid w:val="002A5E7E"/>
    <w:rsid w:val="002A6276"/>
    <w:rsid w:val="002A62BE"/>
    <w:rsid w:val="002A64D9"/>
    <w:rsid w:val="002A6C82"/>
    <w:rsid w:val="002A6E5C"/>
    <w:rsid w:val="002A7190"/>
    <w:rsid w:val="002A7DF4"/>
    <w:rsid w:val="002A7F0E"/>
    <w:rsid w:val="002B095D"/>
    <w:rsid w:val="002B0F2E"/>
    <w:rsid w:val="002B1844"/>
    <w:rsid w:val="002B243A"/>
    <w:rsid w:val="002B2B54"/>
    <w:rsid w:val="002B2D29"/>
    <w:rsid w:val="002B2F39"/>
    <w:rsid w:val="002B308E"/>
    <w:rsid w:val="002B30CA"/>
    <w:rsid w:val="002B3A38"/>
    <w:rsid w:val="002B3CDC"/>
    <w:rsid w:val="002B3DD3"/>
    <w:rsid w:val="002B3E89"/>
    <w:rsid w:val="002B4668"/>
    <w:rsid w:val="002B46F4"/>
    <w:rsid w:val="002B4BB0"/>
    <w:rsid w:val="002B53A8"/>
    <w:rsid w:val="002B5403"/>
    <w:rsid w:val="002B5461"/>
    <w:rsid w:val="002B578E"/>
    <w:rsid w:val="002B5B1B"/>
    <w:rsid w:val="002B5C93"/>
    <w:rsid w:val="002B5D00"/>
    <w:rsid w:val="002B5E4C"/>
    <w:rsid w:val="002B656A"/>
    <w:rsid w:val="002B6ABC"/>
    <w:rsid w:val="002B6D20"/>
    <w:rsid w:val="002B6F1A"/>
    <w:rsid w:val="002B7CB6"/>
    <w:rsid w:val="002C0E70"/>
    <w:rsid w:val="002C1070"/>
    <w:rsid w:val="002C13D7"/>
    <w:rsid w:val="002C1A50"/>
    <w:rsid w:val="002C2274"/>
    <w:rsid w:val="002C3930"/>
    <w:rsid w:val="002C3BDC"/>
    <w:rsid w:val="002C3C58"/>
    <w:rsid w:val="002C48F5"/>
    <w:rsid w:val="002C4C3A"/>
    <w:rsid w:val="002C501A"/>
    <w:rsid w:val="002C5C80"/>
    <w:rsid w:val="002C5F87"/>
    <w:rsid w:val="002C6940"/>
    <w:rsid w:val="002C73A0"/>
    <w:rsid w:val="002C7898"/>
    <w:rsid w:val="002D0461"/>
    <w:rsid w:val="002D1C82"/>
    <w:rsid w:val="002D20BD"/>
    <w:rsid w:val="002D22D8"/>
    <w:rsid w:val="002D2CDA"/>
    <w:rsid w:val="002D3798"/>
    <w:rsid w:val="002D3B3D"/>
    <w:rsid w:val="002D44F2"/>
    <w:rsid w:val="002D4C3E"/>
    <w:rsid w:val="002D4CAA"/>
    <w:rsid w:val="002D5350"/>
    <w:rsid w:val="002D5DA5"/>
    <w:rsid w:val="002D672C"/>
    <w:rsid w:val="002D7FE7"/>
    <w:rsid w:val="002E08D5"/>
    <w:rsid w:val="002E0AEE"/>
    <w:rsid w:val="002E24D3"/>
    <w:rsid w:val="002E25D3"/>
    <w:rsid w:val="002E27E0"/>
    <w:rsid w:val="002E2AB0"/>
    <w:rsid w:val="002E3637"/>
    <w:rsid w:val="002E3B88"/>
    <w:rsid w:val="002E4509"/>
    <w:rsid w:val="002E4B1B"/>
    <w:rsid w:val="002E5015"/>
    <w:rsid w:val="002E5E67"/>
    <w:rsid w:val="002E62E3"/>
    <w:rsid w:val="002E6D72"/>
    <w:rsid w:val="002E7020"/>
    <w:rsid w:val="002E72DB"/>
    <w:rsid w:val="002E7670"/>
    <w:rsid w:val="002F014C"/>
    <w:rsid w:val="002F0EB2"/>
    <w:rsid w:val="002F11B0"/>
    <w:rsid w:val="002F192C"/>
    <w:rsid w:val="002F2242"/>
    <w:rsid w:val="002F2927"/>
    <w:rsid w:val="002F2DA4"/>
    <w:rsid w:val="002F2DF0"/>
    <w:rsid w:val="002F3AD8"/>
    <w:rsid w:val="002F3E0F"/>
    <w:rsid w:val="002F3E18"/>
    <w:rsid w:val="002F4351"/>
    <w:rsid w:val="002F46C6"/>
    <w:rsid w:val="002F486C"/>
    <w:rsid w:val="002F4ED6"/>
    <w:rsid w:val="002F5305"/>
    <w:rsid w:val="002F58D5"/>
    <w:rsid w:val="002F5C1C"/>
    <w:rsid w:val="002F6068"/>
    <w:rsid w:val="002F610A"/>
    <w:rsid w:val="002F6904"/>
    <w:rsid w:val="002F6BB1"/>
    <w:rsid w:val="002F7487"/>
    <w:rsid w:val="002F76EA"/>
    <w:rsid w:val="002F7A72"/>
    <w:rsid w:val="002F7B22"/>
    <w:rsid w:val="00300518"/>
    <w:rsid w:val="003007CA"/>
    <w:rsid w:val="003011CF"/>
    <w:rsid w:val="00301484"/>
    <w:rsid w:val="00301C4C"/>
    <w:rsid w:val="00302922"/>
    <w:rsid w:val="00303605"/>
    <w:rsid w:val="00303B35"/>
    <w:rsid w:val="00304335"/>
    <w:rsid w:val="00304811"/>
    <w:rsid w:val="00304B77"/>
    <w:rsid w:val="00304F0C"/>
    <w:rsid w:val="003050C1"/>
    <w:rsid w:val="003053E6"/>
    <w:rsid w:val="00305599"/>
    <w:rsid w:val="003060A8"/>
    <w:rsid w:val="0030684A"/>
    <w:rsid w:val="00306966"/>
    <w:rsid w:val="00306A4D"/>
    <w:rsid w:val="003074C7"/>
    <w:rsid w:val="00307E49"/>
    <w:rsid w:val="0031036E"/>
    <w:rsid w:val="003105BC"/>
    <w:rsid w:val="00311307"/>
    <w:rsid w:val="0031174B"/>
    <w:rsid w:val="0031190F"/>
    <w:rsid w:val="00311BFA"/>
    <w:rsid w:val="00312195"/>
    <w:rsid w:val="00312614"/>
    <w:rsid w:val="00312838"/>
    <w:rsid w:val="00313036"/>
    <w:rsid w:val="0031321C"/>
    <w:rsid w:val="0031373F"/>
    <w:rsid w:val="00314843"/>
    <w:rsid w:val="0031523C"/>
    <w:rsid w:val="00315639"/>
    <w:rsid w:val="00315A2D"/>
    <w:rsid w:val="003169BD"/>
    <w:rsid w:val="00316A7E"/>
    <w:rsid w:val="00316F12"/>
    <w:rsid w:val="00317A0E"/>
    <w:rsid w:val="00317EDC"/>
    <w:rsid w:val="00320C49"/>
    <w:rsid w:val="003215F4"/>
    <w:rsid w:val="0032183C"/>
    <w:rsid w:val="00321CC2"/>
    <w:rsid w:val="00322086"/>
    <w:rsid w:val="00322236"/>
    <w:rsid w:val="0032229D"/>
    <w:rsid w:val="003222CD"/>
    <w:rsid w:val="00322A91"/>
    <w:rsid w:val="00325138"/>
    <w:rsid w:val="003251D6"/>
    <w:rsid w:val="003252E2"/>
    <w:rsid w:val="003252F0"/>
    <w:rsid w:val="0032566A"/>
    <w:rsid w:val="00325EC5"/>
    <w:rsid w:val="003260CF"/>
    <w:rsid w:val="00330D1E"/>
    <w:rsid w:val="0033121A"/>
    <w:rsid w:val="00331592"/>
    <w:rsid w:val="00331BD9"/>
    <w:rsid w:val="003322F6"/>
    <w:rsid w:val="0033274C"/>
    <w:rsid w:val="00333778"/>
    <w:rsid w:val="003342D5"/>
    <w:rsid w:val="003344EE"/>
    <w:rsid w:val="0033459B"/>
    <w:rsid w:val="0033466F"/>
    <w:rsid w:val="00334761"/>
    <w:rsid w:val="00334E46"/>
    <w:rsid w:val="00335B7D"/>
    <w:rsid w:val="00336394"/>
    <w:rsid w:val="00336575"/>
    <w:rsid w:val="00336AF7"/>
    <w:rsid w:val="003402C4"/>
    <w:rsid w:val="0034046E"/>
    <w:rsid w:val="00340A93"/>
    <w:rsid w:val="00340CB7"/>
    <w:rsid w:val="00341120"/>
    <w:rsid w:val="00342125"/>
    <w:rsid w:val="00342151"/>
    <w:rsid w:val="0034257F"/>
    <w:rsid w:val="00342770"/>
    <w:rsid w:val="003437BA"/>
    <w:rsid w:val="00343D53"/>
    <w:rsid w:val="003440BF"/>
    <w:rsid w:val="003442C8"/>
    <w:rsid w:val="003457F8"/>
    <w:rsid w:val="00345E99"/>
    <w:rsid w:val="00346443"/>
    <w:rsid w:val="00346AD7"/>
    <w:rsid w:val="003470C7"/>
    <w:rsid w:val="00347848"/>
    <w:rsid w:val="00347A8A"/>
    <w:rsid w:val="00350A38"/>
    <w:rsid w:val="00351619"/>
    <w:rsid w:val="003518B2"/>
    <w:rsid w:val="00351981"/>
    <w:rsid w:val="00351CB1"/>
    <w:rsid w:val="00352E63"/>
    <w:rsid w:val="00353E5F"/>
    <w:rsid w:val="0035428C"/>
    <w:rsid w:val="00354355"/>
    <w:rsid w:val="00354ECE"/>
    <w:rsid w:val="00356428"/>
    <w:rsid w:val="00356BF2"/>
    <w:rsid w:val="003571F0"/>
    <w:rsid w:val="0035780A"/>
    <w:rsid w:val="0036201A"/>
    <w:rsid w:val="0036265D"/>
    <w:rsid w:val="00362EFE"/>
    <w:rsid w:val="003632F5"/>
    <w:rsid w:val="00363380"/>
    <w:rsid w:val="0036368C"/>
    <w:rsid w:val="00364908"/>
    <w:rsid w:val="00365A90"/>
    <w:rsid w:val="00367E31"/>
    <w:rsid w:val="0037033A"/>
    <w:rsid w:val="00370704"/>
    <w:rsid w:val="003707E8"/>
    <w:rsid w:val="003708CF"/>
    <w:rsid w:val="00370974"/>
    <w:rsid w:val="00370AF4"/>
    <w:rsid w:val="00370BC3"/>
    <w:rsid w:val="003712E1"/>
    <w:rsid w:val="00371A2D"/>
    <w:rsid w:val="003724A1"/>
    <w:rsid w:val="00372672"/>
    <w:rsid w:val="00372F8C"/>
    <w:rsid w:val="00373066"/>
    <w:rsid w:val="003733CC"/>
    <w:rsid w:val="00373928"/>
    <w:rsid w:val="00374603"/>
    <w:rsid w:val="00374A1D"/>
    <w:rsid w:val="00374DC7"/>
    <w:rsid w:val="00375D1A"/>
    <w:rsid w:val="00376144"/>
    <w:rsid w:val="00376C78"/>
    <w:rsid w:val="00377258"/>
    <w:rsid w:val="00377751"/>
    <w:rsid w:val="00377AC9"/>
    <w:rsid w:val="00377DF6"/>
    <w:rsid w:val="003804EF"/>
    <w:rsid w:val="00382263"/>
    <w:rsid w:val="0038366F"/>
    <w:rsid w:val="00383917"/>
    <w:rsid w:val="00383946"/>
    <w:rsid w:val="00383AAE"/>
    <w:rsid w:val="003847A3"/>
    <w:rsid w:val="003848B2"/>
    <w:rsid w:val="00384E79"/>
    <w:rsid w:val="0038500B"/>
    <w:rsid w:val="003856E4"/>
    <w:rsid w:val="00385706"/>
    <w:rsid w:val="0038611B"/>
    <w:rsid w:val="003862F2"/>
    <w:rsid w:val="0038645B"/>
    <w:rsid w:val="0038757F"/>
    <w:rsid w:val="00387B11"/>
    <w:rsid w:val="00390215"/>
    <w:rsid w:val="00390313"/>
    <w:rsid w:val="0039130A"/>
    <w:rsid w:val="0039132D"/>
    <w:rsid w:val="0039194D"/>
    <w:rsid w:val="00391B6D"/>
    <w:rsid w:val="00391E3D"/>
    <w:rsid w:val="0039221D"/>
    <w:rsid w:val="00392589"/>
    <w:rsid w:val="00394564"/>
    <w:rsid w:val="0039487C"/>
    <w:rsid w:val="0039524A"/>
    <w:rsid w:val="0039580C"/>
    <w:rsid w:val="00395A98"/>
    <w:rsid w:val="003962BA"/>
    <w:rsid w:val="003972B3"/>
    <w:rsid w:val="003974B1"/>
    <w:rsid w:val="00397ACE"/>
    <w:rsid w:val="00397BCC"/>
    <w:rsid w:val="003A02C5"/>
    <w:rsid w:val="003A089D"/>
    <w:rsid w:val="003A14DE"/>
    <w:rsid w:val="003A1B69"/>
    <w:rsid w:val="003A1BC9"/>
    <w:rsid w:val="003A2C18"/>
    <w:rsid w:val="003A3720"/>
    <w:rsid w:val="003A38D6"/>
    <w:rsid w:val="003A3908"/>
    <w:rsid w:val="003A40C5"/>
    <w:rsid w:val="003A4672"/>
    <w:rsid w:val="003A4D2E"/>
    <w:rsid w:val="003A5505"/>
    <w:rsid w:val="003A55D5"/>
    <w:rsid w:val="003A5F85"/>
    <w:rsid w:val="003A6FB1"/>
    <w:rsid w:val="003A7CC7"/>
    <w:rsid w:val="003A7D8A"/>
    <w:rsid w:val="003B04C6"/>
    <w:rsid w:val="003B0D06"/>
    <w:rsid w:val="003B1A4F"/>
    <w:rsid w:val="003B1AFD"/>
    <w:rsid w:val="003B26C1"/>
    <w:rsid w:val="003B2F1A"/>
    <w:rsid w:val="003B4428"/>
    <w:rsid w:val="003B4507"/>
    <w:rsid w:val="003B48DD"/>
    <w:rsid w:val="003B495E"/>
    <w:rsid w:val="003B49CD"/>
    <w:rsid w:val="003B4EB4"/>
    <w:rsid w:val="003B55CE"/>
    <w:rsid w:val="003B56C8"/>
    <w:rsid w:val="003B56E9"/>
    <w:rsid w:val="003B5766"/>
    <w:rsid w:val="003B609E"/>
    <w:rsid w:val="003B60B6"/>
    <w:rsid w:val="003B611F"/>
    <w:rsid w:val="003B63E5"/>
    <w:rsid w:val="003B6CEE"/>
    <w:rsid w:val="003B6E7D"/>
    <w:rsid w:val="003B7076"/>
    <w:rsid w:val="003C0D9C"/>
    <w:rsid w:val="003C1118"/>
    <w:rsid w:val="003C1805"/>
    <w:rsid w:val="003C18AF"/>
    <w:rsid w:val="003C2066"/>
    <w:rsid w:val="003C3D12"/>
    <w:rsid w:val="003C4355"/>
    <w:rsid w:val="003C4518"/>
    <w:rsid w:val="003C4CB8"/>
    <w:rsid w:val="003C524B"/>
    <w:rsid w:val="003C54A1"/>
    <w:rsid w:val="003C5BEA"/>
    <w:rsid w:val="003C6852"/>
    <w:rsid w:val="003C6F52"/>
    <w:rsid w:val="003C711B"/>
    <w:rsid w:val="003C784C"/>
    <w:rsid w:val="003D004D"/>
    <w:rsid w:val="003D0962"/>
    <w:rsid w:val="003D0FC8"/>
    <w:rsid w:val="003D11DB"/>
    <w:rsid w:val="003D1424"/>
    <w:rsid w:val="003D14FF"/>
    <w:rsid w:val="003D28FC"/>
    <w:rsid w:val="003D2F4D"/>
    <w:rsid w:val="003D31B8"/>
    <w:rsid w:val="003D38B4"/>
    <w:rsid w:val="003D39CB"/>
    <w:rsid w:val="003D4AFB"/>
    <w:rsid w:val="003D4B6A"/>
    <w:rsid w:val="003D5E19"/>
    <w:rsid w:val="003D6818"/>
    <w:rsid w:val="003D6F34"/>
    <w:rsid w:val="003D75B5"/>
    <w:rsid w:val="003D794D"/>
    <w:rsid w:val="003E0645"/>
    <w:rsid w:val="003E199F"/>
    <w:rsid w:val="003E26BB"/>
    <w:rsid w:val="003E3B23"/>
    <w:rsid w:val="003E4030"/>
    <w:rsid w:val="003E45E6"/>
    <w:rsid w:val="003E4E00"/>
    <w:rsid w:val="003E5466"/>
    <w:rsid w:val="003E549F"/>
    <w:rsid w:val="003E5624"/>
    <w:rsid w:val="003E5888"/>
    <w:rsid w:val="003E5E61"/>
    <w:rsid w:val="003E6293"/>
    <w:rsid w:val="003E6314"/>
    <w:rsid w:val="003E674E"/>
    <w:rsid w:val="003E6BC5"/>
    <w:rsid w:val="003E7352"/>
    <w:rsid w:val="003F0357"/>
    <w:rsid w:val="003F0700"/>
    <w:rsid w:val="003F144B"/>
    <w:rsid w:val="003F1A0E"/>
    <w:rsid w:val="003F1AF9"/>
    <w:rsid w:val="003F1C93"/>
    <w:rsid w:val="003F23B0"/>
    <w:rsid w:val="003F3537"/>
    <w:rsid w:val="003F3686"/>
    <w:rsid w:val="003F3980"/>
    <w:rsid w:val="003F3B45"/>
    <w:rsid w:val="003F42B8"/>
    <w:rsid w:val="003F432E"/>
    <w:rsid w:val="003F4CA7"/>
    <w:rsid w:val="003F5073"/>
    <w:rsid w:val="003F5DF1"/>
    <w:rsid w:val="003F74F7"/>
    <w:rsid w:val="00400418"/>
    <w:rsid w:val="0040169C"/>
    <w:rsid w:val="004038C0"/>
    <w:rsid w:val="004038DA"/>
    <w:rsid w:val="004039E2"/>
    <w:rsid w:val="004040D2"/>
    <w:rsid w:val="00404B10"/>
    <w:rsid w:val="00405605"/>
    <w:rsid w:val="00405854"/>
    <w:rsid w:val="0040799F"/>
    <w:rsid w:val="00410DAD"/>
    <w:rsid w:val="00411041"/>
    <w:rsid w:val="0041126C"/>
    <w:rsid w:val="004113B0"/>
    <w:rsid w:val="00411736"/>
    <w:rsid w:val="00411AF0"/>
    <w:rsid w:val="00412103"/>
    <w:rsid w:val="00412A7A"/>
    <w:rsid w:val="00413059"/>
    <w:rsid w:val="00413532"/>
    <w:rsid w:val="004137BE"/>
    <w:rsid w:val="00413B90"/>
    <w:rsid w:val="00415299"/>
    <w:rsid w:val="004157F5"/>
    <w:rsid w:val="0041601F"/>
    <w:rsid w:val="00416668"/>
    <w:rsid w:val="0041719C"/>
    <w:rsid w:val="00420DA7"/>
    <w:rsid w:val="0042128F"/>
    <w:rsid w:val="00421C58"/>
    <w:rsid w:val="004224CA"/>
    <w:rsid w:val="00422D8A"/>
    <w:rsid w:val="00424530"/>
    <w:rsid w:val="0042503E"/>
    <w:rsid w:val="004254BA"/>
    <w:rsid w:val="00425788"/>
    <w:rsid w:val="00425843"/>
    <w:rsid w:val="00427118"/>
    <w:rsid w:val="004275FE"/>
    <w:rsid w:val="00430291"/>
    <w:rsid w:val="00430389"/>
    <w:rsid w:val="00431007"/>
    <w:rsid w:val="004319ED"/>
    <w:rsid w:val="00431D84"/>
    <w:rsid w:val="00432BAD"/>
    <w:rsid w:val="00432DF8"/>
    <w:rsid w:val="004331DA"/>
    <w:rsid w:val="00433349"/>
    <w:rsid w:val="0043397E"/>
    <w:rsid w:val="00433FA1"/>
    <w:rsid w:val="00434148"/>
    <w:rsid w:val="00434624"/>
    <w:rsid w:val="00434AFE"/>
    <w:rsid w:val="00434BFE"/>
    <w:rsid w:val="00434C57"/>
    <w:rsid w:val="00434E51"/>
    <w:rsid w:val="00435382"/>
    <w:rsid w:val="0043566E"/>
    <w:rsid w:val="00435BB8"/>
    <w:rsid w:val="00435E0E"/>
    <w:rsid w:val="00435F2C"/>
    <w:rsid w:val="0043683B"/>
    <w:rsid w:val="00436C4E"/>
    <w:rsid w:val="004375AE"/>
    <w:rsid w:val="0043794F"/>
    <w:rsid w:val="00437ADE"/>
    <w:rsid w:val="004413AD"/>
    <w:rsid w:val="00442507"/>
    <w:rsid w:val="00442EAF"/>
    <w:rsid w:val="00443068"/>
    <w:rsid w:val="00443339"/>
    <w:rsid w:val="00443441"/>
    <w:rsid w:val="004438EE"/>
    <w:rsid w:val="00444726"/>
    <w:rsid w:val="0044495C"/>
    <w:rsid w:val="00445054"/>
    <w:rsid w:val="00445240"/>
    <w:rsid w:val="00446A46"/>
    <w:rsid w:val="004473D6"/>
    <w:rsid w:val="00447F28"/>
    <w:rsid w:val="00450FAC"/>
    <w:rsid w:val="004515CA"/>
    <w:rsid w:val="00452E52"/>
    <w:rsid w:val="004534B0"/>
    <w:rsid w:val="004535DB"/>
    <w:rsid w:val="0045364E"/>
    <w:rsid w:val="00453C9A"/>
    <w:rsid w:val="00454416"/>
    <w:rsid w:val="004545C4"/>
    <w:rsid w:val="00454656"/>
    <w:rsid w:val="00455614"/>
    <w:rsid w:val="00456955"/>
    <w:rsid w:val="004579B3"/>
    <w:rsid w:val="00461C5A"/>
    <w:rsid w:val="00461F09"/>
    <w:rsid w:val="00462DA4"/>
    <w:rsid w:val="00462E91"/>
    <w:rsid w:val="00462F28"/>
    <w:rsid w:val="00463291"/>
    <w:rsid w:val="00463C30"/>
    <w:rsid w:val="0046468A"/>
    <w:rsid w:val="0046494F"/>
    <w:rsid w:val="004660FD"/>
    <w:rsid w:val="00466A07"/>
    <w:rsid w:val="00466D76"/>
    <w:rsid w:val="00466F56"/>
    <w:rsid w:val="00467140"/>
    <w:rsid w:val="00467868"/>
    <w:rsid w:val="00467871"/>
    <w:rsid w:val="004705DD"/>
    <w:rsid w:val="004717DC"/>
    <w:rsid w:val="00471FB7"/>
    <w:rsid w:val="004727A7"/>
    <w:rsid w:val="004739CE"/>
    <w:rsid w:val="00473ABD"/>
    <w:rsid w:val="00473B7D"/>
    <w:rsid w:val="00473D56"/>
    <w:rsid w:val="00473E51"/>
    <w:rsid w:val="00474CF4"/>
    <w:rsid w:val="004760AF"/>
    <w:rsid w:val="00480027"/>
    <w:rsid w:val="004805AF"/>
    <w:rsid w:val="004809EC"/>
    <w:rsid w:val="00481A21"/>
    <w:rsid w:val="00482F34"/>
    <w:rsid w:val="00483434"/>
    <w:rsid w:val="00483455"/>
    <w:rsid w:val="00484E71"/>
    <w:rsid w:val="00486070"/>
    <w:rsid w:val="0048617A"/>
    <w:rsid w:val="00486523"/>
    <w:rsid w:val="0048666C"/>
    <w:rsid w:val="00486927"/>
    <w:rsid w:val="0048714F"/>
    <w:rsid w:val="00487196"/>
    <w:rsid w:val="0048736C"/>
    <w:rsid w:val="004876F2"/>
    <w:rsid w:val="00487C06"/>
    <w:rsid w:val="00487DBB"/>
    <w:rsid w:val="0049078E"/>
    <w:rsid w:val="00490EC6"/>
    <w:rsid w:val="00491387"/>
    <w:rsid w:val="00492072"/>
    <w:rsid w:val="00492204"/>
    <w:rsid w:val="00493820"/>
    <w:rsid w:val="00493847"/>
    <w:rsid w:val="00494127"/>
    <w:rsid w:val="0049467F"/>
    <w:rsid w:val="004947F7"/>
    <w:rsid w:val="00494B2A"/>
    <w:rsid w:val="00494CF8"/>
    <w:rsid w:val="004968CC"/>
    <w:rsid w:val="00497378"/>
    <w:rsid w:val="00497633"/>
    <w:rsid w:val="004A0803"/>
    <w:rsid w:val="004A0B42"/>
    <w:rsid w:val="004A11B4"/>
    <w:rsid w:val="004A1C8C"/>
    <w:rsid w:val="004A1E26"/>
    <w:rsid w:val="004A266F"/>
    <w:rsid w:val="004A30AE"/>
    <w:rsid w:val="004A37DA"/>
    <w:rsid w:val="004A3D01"/>
    <w:rsid w:val="004A408D"/>
    <w:rsid w:val="004A4260"/>
    <w:rsid w:val="004A46F9"/>
    <w:rsid w:val="004A4B67"/>
    <w:rsid w:val="004A4EB8"/>
    <w:rsid w:val="004A4FB5"/>
    <w:rsid w:val="004A62A1"/>
    <w:rsid w:val="004A6A40"/>
    <w:rsid w:val="004A7AFC"/>
    <w:rsid w:val="004B0220"/>
    <w:rsid w:val="004B0661"/>
    <w:rsid w:val="004B06FF"/>
    <w:rsid w:val="004B2069"/>
    <w:rsid w:val="004B32DC"/>
    <w:rsid w:val="004B3876"/>
    <w:rsid w:val="004B44DF"/>
    <w:rsid w:val="004B468E"/>
    <w:rsid w:val="004B5528"/>
    <w:rsid w:val="004B58D9"/>
    <w:rsid w:val="004B5943"/>
    <w:rsid w:val="004B5BED"/>
    <w:rsid w:val="004B64CC"/>
    <w:rsid w:val="004B6507"/>
    <w:rsid w:val="004B76E8"/>
    <w:rsid w:val="004C0CC8"/>
    <w:rsid w:val="004C1334"/>
    <w:rsid w:val="004C21F4"/>
    <w:rsid w:val="004C35FC"/>
    <w:rsid w:val="004C363F"/>
    <w:rsid w:val="004C4353"/>
    <w:rsid w:val="004C503D"/>
    <w:rsid w:val="004C551A"/>
    <w:rsid w:val="004C5E3A"/>
    <w:rsid w:val="004C5F12"/>
    <w:rsid w:val="004C5F2D"/>
    <w:rsid w:val="004C6CED"/>
    <w:rsid w:val="004C7064"/>
    <w:rsid w:val="004C7600"/>
    <w:rsid w:val="004C7AA5"/>
    <w:rsid w:val="004C7ED3"/>
    <w:rsid w:val="004D04C1"/>
    <w:rsid w:val="004D1AAC"/>
    <w:rsid w:val="004D1F79"/>
    <w:rsid w:val="004D246B"/>
    <w:rsid w:val="004D2550"/>
    <w:rsid w:val="004D2810"/>
    <w:rsid w:val="004D4E2D"/>
    <w:rsid w:val="004D5258"/>
    <w:rsid w:val="004D56D5"/>
    <w:rsid w:val="004D5EBB"/>
    <w:rsid w:val="004D5EF0"/>
    <w:rsid w:val="004D648C"/>
    <w:rsid w:val="004D6B55"/>
    <w:rsid w:val="004D70C0"/>
    <w:rsid w:val="004D7E1A"/>
    <w:rsid w:val="004E0021"/>
    <w:rsid w:val="004E02C8"/>
    <w:rsid w:val="004E0322"/>
    <w:rsid w:val="004E0924"/>
    <w:rsid w:val="004E0A79"/>
    <w:rsid w:val="004E180B"/>
    <w:rsid w:val="004E1AAF"/>
    <w:rsid w:val="004E1C6A"/>
    <w:rsid w:val="004E20DF"/>
    <w:rsid w:val="004E259A"/>
    <w:rsid w:val="004E27F5"/>
    <w:rsid w:val="004E2E93"/>
    <w:rsid w:val="004E3520"/>
    <w:rsid w:val="004E3581"/>
    <w:rsid w:val="004E38A4"/>
    <w:rsid w:val="004E3D45"/>
    <w:rsid w:val="004E4EB1"/>
    <w:rsid w:val="004E56F6"/>
    <w:rsid w:val="004E6384"/>
    <w:rsid w:val="004E67BD"/>
    <w:rsid w:val="004E6AB4"/>
    <w:rsid w:val="004E6D79"/>
    <w:rsid w:val="004E761C"/>
    <w:rsid w:val="004E7AD2"/>
    <w:rsid w:val="004E7BE5"/>
    <w:rsid w:val="004E7E1D"/>
    <w:rsid w:val="004F00AD"/>
    <w:rsid w:val="004F0DCF"/>
    <w:rsid w:val="004F10D4"/>
    <w:rsid w:val="004F1278"/>
    <w:rsid w:val="004F2EF8"/>
    <w:rsid w:val="004F3108"/>
    <w:rsid w:val="004F3517"/>
    <w:rsid w:val="004F3519"/>
    <w:rsid w:val="004F3AF3"/>
    <w:rsid w:val="004F3CEF"/>
    <w:rsid w:val="004F41DC"/>
    <w:rsid w:val="004F5214"/>
    <w:rsid w:val="004F5ACF"/>
    <w:rsid w:val="004F6475"/>
    <w:rsid w:val="004F7A97"/>
    <w:rsid w:val="004F7CEC"/>
    <w:rsid w:val="00500957"/>
    <w:rsid w:val="00500B93"/>
    <w:rsid w:val="00500BF4"/>
    <w:rsid w:val="0050196D"/>
    <w:rsid w:val="005019ED"/>
    <w:rsid w:val="005029F1"/>
    <w:rsid w:val="00502B93"/>
    <w:rsid w:val="0050330F"/>
    <w:rsid w:val="0050361C"/>
    <w:rsid w:val="00503ECD"/>
    <w:rsid w:val="00504477"/>
    <w:rsid w:val="005046AD"/>
    <w:rsid w:val="00504B89"/>
    <w:rsid w:val="00505AC7"/>
    <w:rsid w:val="00506592"/>
    <w:rsid w:val="005066D0"/>
    <w:rsid w:val="005069D1"/>
    <w:rsid w:val="00507831"/>
    <w:rsid w:val="00507C2B"/>
    <w:rsid w:val="005100ED"/>
    <w:rsid w:val="0051116C"/>
    <w:rsid w:val="0051139D"/>
    <w:rsid w:val="005117D3"/>
    <w:rsid w:val="005119C0"/>
    <w:rsid w:val="005129DE"/>
    <w:rsid w:val="00512D3B"/>
    <w:rsid w:val="00513809"/>
    <w:rsid w:val="00513AAA"/>
    <w:rsid w:val="00514152"/>
    <w:rsid w:val="00514373"/>
    <w:rsid w:val="005144FA"/>
    <w:rsid w:val="00514521"/>
    <w:rsid w:val="00514F62"/>
    <w:rsid w:val="00515889"/>
    <w:rsid w:val="00515ADD"/>
    <w:rsid w:val="00515CF4"/>
    <w:rsid w:val="00516DEE"/>
    <w:rsid w:val="00516FC2"/>
    <w:rsid w:val="0051778C"/>
    <w:rsid w:val="00517BCB"/>
    <w:rsid w:val="0052022C"/>
    <w:rsid w:val="00521750"/>
    <w:rsid w:val="00521B32"/>
    <w:rsid w:val="00522047"/>
    <w:rsid w:val="00522AE6"/>
    <w:rsid w:val="00522DD5"/>
    <w:rsid w:val="00523B4B"/>
    <w:rsid w:val="00523ED6"/>
    <w:rsid w:val="00524349"/>
    <w:rsid w:val="00524485"/>
    <w:rsid w:val="005251BF"/>
    <w:rsid w:val="00525893"/>
    <w:rsid w:val="00525D45"/>
    <w:rsid w:val="00526B51"/>
    <w:rsid w:val="00527BD4"/>
    <w:rsid w:val="00527FE1"/>
    <w:rsid w:val="00530531"/>
    <w:rsid w:val="00531D6D"/>
    <w:rsid w:val="00532CEC"/>
    <w:rsid w:val="00534457"/>
    <w:rsid w:val="005344B4"/>
    <w:rsid w:val="0053476A"/>
    <w:rsid w:val="00535046"/>
    <w:rsid w:val="00535E0E"/>
    <w:rsid w:val="00536D1D"/>
    <w:rsid w:val="00537471"/>
    <w:rsid w:val="00541361"/>
    <w:rsid w:val="00541663"/>
    <w:rsid w:val="005424F5"/>
    <w:rsid w:val="00542697"/>
    <w:rsid w:val="00542735"/>
    <w:rsid w:val="0054303D"/>
    <w:rsid w:val="00543FFD"/>
    <w:rsid w:val="00544B27"/>
    <w:rsid w:val="00544F1E"/>
    <w:rsid w:val="00545336"/>
    <w:rsid w:val="0054549D"/>
    <w:rsid w:val="00547B6E"/>
    <w:rsid w:val="00550A54"/>
    <w:rsid w:val="0055186B"/>
    <w:rsid w:val="00552E4A"/>
    <w:rsid w:val="00553646"/>
    <w:rsid w:val="005536C8"/>
    <w:rsid w:val="00555813"/>
    <w:rsid w:val="00555A57"/>
    <w:rsid w:val="005569D0"/>
    <w:rsid w:val="00556CED"/>
    <w:rsid w:val="00556E64"/>
    <w:rsid w:val="00556F79"/>
    <w:rsid w:val="00557774"/>
    <w:rsid w:val="00560259"/>
    <w:rsid w:val="005615F8"/>
    <w:rsid w:val="00561EFD"/>
    <w:rsid w:val="0056234A"/>
    <w:rsid w:val="00562772"/>
    <w:rsid w:val="005635DE"/>
    <w:rsid w:val="0056532A"/>
    <w:rsid w:val="005666AC"/>
    <w:rsid w:val="00566D20"/>
    <w:rsid w:val="0056717C"/>
    <w:rsid w:val="00567D58"/>
    <w:rsid w:val="00570026"/>
    <w:rsid w:val="0057041A"/>
    <w:rsid w:val="00570484"/>
    <w:rsid w:val="005706BF"/>
    <w:rsid w:val="005722CD"/>
    <w:rsid w:val="005730F5"/>
    <w:rsid w:val="005740B2"/>
    <w:rsid w:val="0057472B"/>
    <w:rsid w:val="005748FB"/>
    <w:rsid w:val="00576AE8"/>
    <w:rsid w:val="00580094"/>
    <w:rsid w:val="00580CDB"/>
    <w:rsid w:val="005816C4"/>
    <w:rsid w:val="005817F1"/>
    <w:rsid w:val="00581EC6"/>
    <w:rsid w:val="00582946"/>
    <w:rsid w:val="00582B58"/>
    <w:rsid w:val="00582D0A"/>
    <w:rsid w:val="0058374F"/>
    <w:rsid w:val="0058481B"/>
    <w:rsid w:val="005851B2"/>
    <w:rsid w:val="005853CE"/>
    <w:rsid w:val="0058558F"/>
    <w:rsid w:val="005861C9"/>
    <w:rsid w:val="00586537"/>
    <w:rsid w:val="0058724E"/>
    <w:rsid w:val="00587AFF"/>
    <w:rsid w:val="005906F7"/>
    <w:rsid w:val="005907D0"/>
    <w:rsid w:val="0059096A"/>
    <w:rsid w:val="005916B3"/>
    <w:rsid w:val="00591CFE"/>
    <w:rsid w:val="005922CF"/>
    <w:rsid w:val="0059267F"/>
    <w:rsid w:val="00592DB3"/>
    <w:rsid w:val="005931C0"/>
    <w:rsid w:val="005938D4"/>
    <w:rsid w:val="00593C4F"/>
    <w:rsid w:val="00594336"/>
    <w:rsid w:val="0059434D"/>
    <w:rsid w:val="00594441"/>
    <w:rsid w:val="00594672"/>
    <w:rsid w:val="00594A43"/>
    <w:rsid w:val="0059501A"/>
    <w:rsid w:val="0059595C"/>
    <w:rsid w:val="005968D0"/>
    <w:rsid w:val="00596B62"/>
    <w:rsid w:val="00596B7B"/>
    <w:rsid w:val="00597251"/>
    <w:rsid w:val="00597324"/>
    <w:rsid w:val="00597DA6"/>
    <w:rsid w:val="00597E0B"/>
    <w:rsid w:val="005A0E48"/>
    <w:rsid w:val="005A0F2F"/>
    <w:rsid w:val="005A1D56"/>
    <w:rsid w:val="005A22C7"/>
    <w:rsid w:val="005A24BF"/>
    <w:rsid w:val="005A281E"/>
    <w:rsid w:val="005A2864"/>
    <w:rsid w:val="005A3BFA"/>
    <w:rsid w:val="005A3F00"/>
    <w:rsid w:val="005A41CE"/>
    <w:rsid w:val="005A420E"/>
    <w:rsid w:val="005A4ED4"/>
    <w:rsid w:val="005A500E"/>
    <w:rsid w:val="005A5E6C"/>
    <w:rsid w:val="005A6B42"/>
    <w:rsid w:val="005A75BF"/>
    <w:rsid w:val="005A77F2"/>
    <w:rsid w:val="005B0E3B"/>
    <w:rsid w:val="005B114C"/>
    <w:rsid w:val="005B2851"/>
    <w:rsid w:val="005B2AB7"/>
    <w:rsid w:val="005B35E1"/>
    <w:rsid w:val="005B457D"/>
    <w:rsid w:val="005B5766"/>
    <w:rsid w:val="005B5C06"/>
    <w:rsid w:val="005B63CA"/>
    <w:rsid w:val="005B649D"/>
    <w:rsid w:val="005B6BA0"/>
    <w:rsid w:val="005B6DE6"/>
    <w:rsid w:val="005B72E7"/>
    <w:rsid w:val="005B72E9"/>
    <w:rsid w:val="005B74F2"/>
    <w:rsid w:val="005C0DF3"/>
    <w:rsid w:val="005C1BD6"/>
    <w:rsid w:val="005C1C49"/>
    <w:rsid w:val="005C24D0"/>
    <w:rsid w:val="005C2C82"/>
    <w:rsid w:val="005C2F57"/>
    <w:rsid w:val="005C36C3"/>
    <w:rsid w:val="005C3D02"/>
    <w:rsid w:val="005C41F8"/>
    <w:rsid w:val="005C4358"/>
    <w:rsid w:val="005C5EC2"/>
    <w:rsid w:val="005C62A0"/>
    <w:rsid w:val="005D041A"/>
    <w:rsid w:val="005D043C"/>
    <w:rsid w:val="005D0E40"/>
    <w:rsid w:val="005D2FE4"/>
    <w:rsid w:val="005D318A"/>
    <w:rsid w:val="005D37AE"/>
    <w:rsid w:val="005D3877"/>
    <w:rsid w:val="005D4F4C"/>
    <w:rsid w:val="005D5CFB"/>
    <w:rsid w:val="005D5FD9"/>
    <w:rsid w:val="005D6610"/>
    <w:rsid w:val="005D69E0"/>
    <w:rsid w:val="005D6D3B"/>
    <w:rsid w:val="005D7522"/>
    <w:rsid w:val="005D783C"/>
    <w:rsid w:val="005D7B66"/>
    <w:rsid w:val="005D7D54"/>
    <w:rsid w:val="005D7FCD"/>
    <w:rsid w:val="005E0818"/>
    <w:rsid w:val="005E0A33"/>
    <w:rsid w:val="005E0B9F"/>
    <w:rsid w:val="005E0F96"/>
    <w:rsid w:val="005E171F"/>
    <w:rsid w:val="005E1A1D"/>
    <w:rsid w:val="005E1BFD"/>
    <w:rsid w:val="005E25A9"/>
    <w:rsid w:val="005E2BFA"/>
    <w:rsid w:val="005E2D8B"/>
    <w:rsid w:val="005E3D69"/>
    <w:rsid w:val="005E4148"/>
    <w:rsid w:val="005E4B12"/>
    <w:rsid w:val="005E4D14"/>
    <w:rsid w:val="005E4E76"/>
    <w:rsid w:val="005E5C52"/>
    <w:rsid w:val="005E66D2"/>
    <w:rsid w:val="005E671B"/>
    <w:rsid w:val="005E7723"/>
    <w:rsid w:val="005E7A9E"/>
    <w:rsid w:val="005E7B90"/>
    <w:rsid w:val="005E7C76"/>
    <w:rsid w:val="005F084A"/>
    <w:rsid w:val="005F08DF"/>
    <w:rsid w:val="005F0BFB"/>
    <w:rsid w:val="005F116D"/>
    <w:rsid w:val="005F16DE"/>
    <w:rsid w:val="005F2CC2"/>
    <w:rsid w:val="005F2F0D"/>
    <w:rsid w:val="005F319C"/>
    <w:rsid w:val="005F3635"/>
    <w:rsid w:val="005F3A56"/>
    <w:rsid w:val="005F3C12"/>
    <w:rsid w:val="005F4103"/>
    <w:rsid w:val="005F43E8"/>
    <w:rsid w:val="005F443B"/>
    <w:rsid w:val="005F531F"/>
    <w:rsid w:val="005F5534"/>
    <w:rsid w:val="005F6046"/>
    <w:rsid w:val="005F605D"/>
    <w:rsid w:val="005F68CE"/>
    <w:rsid w:val="005F6F46"/>
    <w:rsid w:val="005F6F50"/>
    <w:rsid w:val="005F7112"/>
    <w:rsid w:val="005F73A9"/>
    <w:rsid w:val="005F7413"/>
    <w:rsid w:val="005F7590"/>
    <w:rsid w:val="005F7B69"/>
    <w:rsid w:val="006007C2"/>
    <w:rsid w:val="00600BD6"/>
    <w:rsid w:val="006011BD"/>
    <w:rsid w:val="006018FD"/>
    <w:rsid w:val="0060248C"/>
    <w:rsid w:val="00602604"/>
    <w:rsid w:val="00602E7C"/>
    <w:rsid w:val="006040C9"/>
    <w:rsid w:val="006042AA"/>
    <w:rsid w:val="006045DF"/>
    <w:rsid w:val="006049BE"/>
    <w:rsid w:val="00604DC6"/>
    <w:rsid w:val="006051A4"/>
    <w:rsid w:val="006051A6"/>
    <w:rsid w:val="00605984"/>
    <w:rsid w:val="00605EC0"/>
    <w:rsid w:val="00606FAA"/>
    <w:rsid w:val="0060759A"/>
    <w:rsid w:val="006078ED"/>
    <w:rsid w:val="00607F5A"/>
    <w:rsid w:val="006103A5"/>
    <w:rsid w:val="006105B9"/>
    <w:rsid w:val="00610705"/>
    <w:rsid w:val="00610C01"/>
    <w:rsid w:val="00610E5F"/>
    <w:rsid w:val="00611191"/>
    <w:rsid w:val="00611662"/>
    <w:rsid w:val="00612B32"/>
    <w:rsid w:val="00612B40"/>
    <w:rsid w:val="00612E2A"/>
    <w:rsid w:val="006135D7"/>
    <w:rsid w:val="00613678"/>
    <w:rsid w:val="00613EB3"/>
    <w:rsid w:val="00613FED"/>
    <w:rsid w:val="00614303"/>
    <w:rsid w:val="00614D25"/>
    <w:rsid w:val="006152AC"/>
    <w:rsid w:val="00615423"/>
    <w:rsid w:val="006155F5"/>
    <w:rsid w:val="00615658"/>
    <w:rsid w:val="006157D3"/>
    <w:rsid w:val="006158DB"/>
    <w:rsid w:val="006163BD"/>
    <w:rsid w:val="006169EB"/>
    <w:rsid w:val="00617E2C"/>
    <w:rsid w:val="00621308"/>
    <w:rsid w:val="00621728"/>
    <w:rsid w:val="006221AC"/>
    <w:rsid w:val="00622574"/>
    <w:rsid w:val="00622B7E"/>
    <w:rsid w:val="0062301E"/>
    <w:rsid w:val="00623E4E"/>
    <w:rsid w:val="006256EE"/>
    <w:rsid w:val="006258A5"/>
    <w:rsid w:val="006259F8"/>
    <w:rsid w:val="00625DC7"/>
    <w:rsid w:val="00626173"/>
    <w:rsid w:val="00626A65"/>
    <w:rsid w:val="00627B9E"/>
    <w:rsid w:val="00627D2C"/>
    <w:rsid w:val="00627E16"/>
    <w:rsid w:val="0063011A"/>
    <w:rsid w:val="00630C26"/>
    <w:rsid w:val="006313D2"/>
    <w:rsid w:val="006315B4"/>
    <w:rsid w:val="0063160C"/>
    <w:rsid w:val="006316A1"/>
    <w:rsid w:val="00631C1F"/>
    <w:rsid w:val="0063219D"/>
    <w:rsid w:val="006323FE"/>
    <w:rsid w:val="0063251E"/>
    <w:rsid w:val="00632C73"/>
    <w:rsid w:val="00633974"/>
    <w:rsid w:val="00634135"/>
    <w:rsid w:val="006341A1"/>
    <w:rsid w:val="006342A3"/>
    <w:rsid w:val="00634B6C"/>
    <w:rsid w:val="00634B93"/>
    <w:rsid w:val="0063515F"/>
    <w:rsid w:val="0063558E"/>
    <w:rsid w:val="00635BF1"/>
    <w:rsid w:val="00635CE2"/>
    <w:rsid w:val="00635FFD"/>
    <w:rsid w:val="006362B8"/>
    <w:rsid w:val="006367CA"/>
    <w:rsid w:val="00640826"/>
    <w:rsid w:val="00640D43"/>
    <w:rsid w:val="00640FCE"/>
    <w:rsid w:val="006415D3"/>
    <w:rsid w:val="00641E02"/>
    <w:rsid w:val="00641E2A"/>
    <w:rsid w:val="0064261F"/>
    <w:rsid w:val="00643483"/>
    <w:rsid w:val="0064352C"/>
    <w:rsid w:val="0064403A"/>
    <w:rsid w:val="0064407F"/>
    <w:rsid w:val="00644167"/>
    <w:rsid w:val="00644222"/>
    <w:rsid w:val="006469B5"/>
    <w:rsid w:val="00646DD7"/>
    <w:rsid w:val="00647550"/>
    <w:rsid w:val="006475F7"/>
    <w:rsid w:val="006477FF"/>
    <w:rsid w:val="00647B77"/>
    <w:rsid w:val="00647F94"/>
    <w:rsid w:val="00650684"/>
    <w:rsid w:val="00650A6E"/>
    <w:rsid w:val="00650F87"/>
    <w:rsid w:val="006513EE"/>
    <w:rsid w:val="00651596"/>
    <w:rsid w:val="006527D9"/>
    <w:rsid w:val="00652CA0"/>
    <w:rsid w:val="00652EF0"/>
    <w:rsid w:val="0065313C"/>
    <w:rsid w:val="0065347C"/>
    <w:rsid w:val="00653931"/>
    <w:rsid w:val="00654816"/>
    <w:rsid w:val="006553D6"/>
    <w:rsid w:val="00656433"/>
    <w:rsid w:val="00656C37"/>
    <w:rsid w:val="00656EC3"/>
    <w:rsid w:val="00657687"/>
    <w:rsid w:val="00657906"/>
    <w:rsid w:val="00657A1C"/>
    <w:rsid w:val="006601A9"/>
    <w:rsid w:val="00660869"/>
    <w:rsid w:val="00660F49"/>
    <w:rsid w:val="0066117C"/>
    <w:rsid w:val="00661772"/>
    <w:rsid w:val="00661CAC"/>
    <w:rsid w:val="00662605"/>
    <w:rsid w:val="006636E8"/>
    <w:rsid w:val="00664C55"/>
    <w:rsid w:val="0066616C"/>
    <w:rsid w:val="0066626A"/>
    <w:rsid w:val="00667109"/>
    <w:rsid w:val="00667314"/>
    <w:rsid w:val="00670356"/>
    <w:rsid w:val="00670682"/>
    <w:rsid w:val="0067118B"/>
    <w:rsid w:val="006713F7"/>
    <w:rsid w:val="00671C66"/>
    <w:rsid w:val="006720C9"/>
    <w:rsid w:val="00672431"/>
    <w:rsid w:val="00673629"/>
    <w:rsid w:val="0067366C"/>
    <w:rsid w:val="006743D3"/>
    <w:rsid w:val="00674622"/>
    <w:rsid w:val="00674911"/>
    <w:rsid w:val="00675296"/>
    <w:rsid w:val="0067565F"/>
    <w:rsid w:val="00675864"/>
    <w:rsid w:val="00675C22"/>
    <w:rsid w:val="00676191"/>
    <w:rsid w:val="00676496"/>
    <w:rsid w:val="006807DF"/>
    <w:rsid w:val="00680C99"/>
    <w:rsid w:val="006812AF"/>
    <w:rsid w:val="00681842"/>
    <w:rsid w:val="0068299D"/>
    <w:rsid w:val="00682C32"/>
    <w:rsid w:val="00682D27"/>
    <w:rsid w:val="00683F61"/>
    <w:rsid w:val="00684109"/>
    <w:rsid w:val="00684C15"/>
    <w:rsid w:val="006850B0"/>
    <w:rsid w:val="006852CA"/>
    <w:rsid w:val="00685552"/>
    <w:rsid w:val="00686231"/>
    <w:rsid w:val="0068691E"/>
    <w:rsid w:val="0068693D"/>
    <w:rsid w:val="00686C8F"/>
    <w:rsid w:val="00687632"/>
    <w:rsid w:val="00687917"/>
    <w:rsid w:val="00687D47"/>
    <w:rsid w:val="006905CF"/>
    <w:rsid w:val="00690AAE"/>
    <w:rsid w:val="00690C66"/>
    <w:rsid w:val="00691030"/>
    <w:rsid w:val="0069196F"/>
    <w:rsid w:val="00691B35"/>
    <w:rsid w:val="006924E5"/>
    <w:rsid w:val="00692732"/>
    <w:rsid w:val="00693F73"/>
    <w:rsid w:val="006943F8"/>
    <w:rsid w:val="00694B3B"/>
    <w:rsid w:val="00695AB6"/>
    <w:rsid w:val="00695F74"/>
    <w:rsid w:val="00697BC1"/>
    <w:rsid w:val="006A0598"/>
    <w:rsid w:val="006A0941"/>
    <w:rsid w:val="006A134A"/>
    <w:rsid w:val="006A19BB"/>
    <w:rsid w:val="006A3CF7"/>
    <w:rsid w:val="006A450B"/>
    <w:rsid w:val="006A756F"/>
    <w:rsid w:val="006A76E2"/>
    <w:rsid w:val="006B03EB"/>
    <w:rsid w:val="006B0736"/>
    <w:rsid w:val="006B080C"/>
    <w:rsid w:val="006B08EA"/>
    <w:rsid w:val="006B1240"/>
    <w:rsid w:val="006B13B8"/>
    <w:rsid w:val="006B1771"/>
    <w:rsid w:val="006B1A0E"/>
    <w:rsid w:val="006B26F5"/>
    <w:rsid w:val="006B2C1A"/>
    <w:rsid w:val="006B35AE"/>
    <w:rsid w:val="006B3C2E"/>
    <w:rsid w:val="006B3D0E"/>
    <w:rsid w:val="006B5263"/>
    <w:rsid w:val="006B5961"/>
    <w:rsid w:val="006B752F"/>
    <w:rsid w:val="006B7E83"/>
    <w:rsid w:val="006C051D"/>
    <w:rsid w:val="006C0C45"/>
    <w:rsid w:val="006C11CA"/>
    <w:rsid w:val="006C13E3"/>
    <w:rsid w:val="006C18FC"/>
    <w:rsid w:val="006C1C42"/>
    <w:rsid w:val="006C2033"/>
    <w:rsid w:val="006C24CF"/>
    <w:rsid w:val="006C28C9"/>
    <w:rsid w:val="006C297C"/>
    <w:rsid w:val="006C2ECE"/>
    <w:rsid w:val="006C77DB"/>
    <w:rsid w:val="006C799A"/>
    <w:rsid w:val="006C7B07"/>
    <w:rsid w:val="006C7F98"/>
    <w:rsid w:val="006D0168"/>
    <w:rsid w:val="006D03F8"/>
    <w:rsid w:val="006D041B"/>
    <w:rsid w:val="006D085C"/>
    <w:rsid w:val="006D0A6B"/>
    <w:rsid w:val="006D12C3"/>
    <w:rsid w:val="006D1F63"/>
    <w:rsid w:val="006D2566"/>
    <w:rsid w:val="006D2632"/>
    <w:rsid w:val="006D334C"/>
    <w:rsid w:val="006D3FB4"/>
    <w:rsid w:val="006D5DF1"/>
    <w:rsid w:val="006D63B1"/>
    <w:rsid w:val="006D7FEE"/>
    <w:rsid w:val="006E2C4F"/>
    <w:rsid w:val="006E33F2"/>
    <w:rsid w:val="006E36F8"/>
    <w:rsid w:val="006E39EA"/>
    <w:rsid w:val="006E3DBD"/>
    <w:rsid w:val="006E4906"/>
    <w:rsid w:val="006E4D87"/>
    <w:rsid w:val="006E5058"/>
    <w:rsid w:val="006E53EB"/>
    <w:rsid w:val="006E6287"/>
    <w:rsid w:val="006E63A1"/>
    <w:rsid w:val="006E6544"/>
    <w:rsid w:val="006E6707"/>
    <w:rsid w:val="006E7C0D"/>
    <w:rsid w:val="006F03F8"/>
    <w:rsid w:val="006F07DD"/>
    <w:rsid w:val="006F0AE9"/>
    <w:rsid w:val="006F0D0C"/>
    <w:rsid w:val="006F0D71"/>
    <w:rsid w:val="006F19C2"/>
    <w:rsid w:val="006F1C7A"/>
    <w:rsid w:val="006F2129"/>
    <w:rsid w:val="006F2E7B"/>
    <w:rsid w:val="006F3F2F"/>
    <w:rsid w:val="006F433E"/>
    <w:rsid w:val="006F4982"/>
    <w:rsid w:val="006F4F28"/>
    <w:rsid w:val="006F51E3"/>
    <w:rsid w:val="006F545E"/>
    <w:rsid w:val="006F57F9"/>
    <w:rsid w:val="006F708A"/>
    <w:rsid w:val="006F70DE"/>
    <w:rsid w:val="006F714B"/>
    <w:rsid w:val="006F7873"/>
    <w:rsid w:val="006F7A49"/>
    <w:rsid w:val="007002BA"/>
    <w:rsid w:val="007009B0"/>
    <w:rsid w:val="00700C3A"/>
    <w:rsid w:val="007016F8"/>
    <w:rsid w:val="00701A14"/>
    <w:rsid w:val="00702BA2"/>
    <w:rsid w:val="00703312"/>
    <w:rsid w:val="00703AA2"/>
    <w:rsid w:val="00703CB1"/>
    <w:rsid w:val="00704352"/>
    <w:rsid w:val="00704448"/>
    <w:rsid w:val="00704556"/>
    <w:rsid w:val="00704B74"/>
    <w:rsid w:val="00704F43"/>
    <w:rsid w:val="00705B2C"/>
    <w:rsid w:val="00705D78"/>
    <w:rsid w:val="00705F47"/>
    <w:rsid w:val="007077E6"/>
    <w:rsid w:val="00707B4D"/>
    <w:rsid w:val="0071069D"/>
    <w:rsid w:val="00711FC0"/>
    <w:rsid w:val="007124EC"/>
    <w:rsid w:val="007128E1"/>
    <w:rsid w:val="00712F65"/>
    <w:rsid w:val="00713A20"/>
    <w:rsid w:val="00713D75"/>
    <w:rsid w:val="00714562"/>
    <w:rsid w:val="007145EA"/>
    <w:rsid w:val="00715188"/>
    <w:rsid w:val="00715198"/>
    <w:rsid w:val="007155C7"/>
    <w:rsid w:val="00715717"/>
    <w:rsid w:val="0071613B"/>
    <w:rsid w:val="00716854"/>
    <w:rsid w:val="00716A56"/>
    <w:rsid w:val="00716C83"/>
    <w:rsid w:val="0071716E"/>
    <w:rsid w:val="00717EFF"/>
    <w:rsid w:val="00720C6E"/>
    <w:rsid w:val="0072105F"/>
    <w:rsid w:val="00721737"/>
    <w:rsid w:val="00722344"/>
    <w:rsid w:val="00722695"/>
    <w:rsid w:val="00725896"/>
    <w:rsid w:val="00725B96"/>
    <w:rsid w:val="00726980"/>
    <w:rsid w:val="00726F33"/>
    <w:rsid w:val="007300DE"/>
    <w:rsid w:val="00730858"/>
    <w:rsid w:val="00730B12"/>
    <w:rsid w:val="007324A8"/>
    <w:rsid w:val="00732613"/>
    <w:rsid w:val="007328D6"/>
    <w:rsid w:val="00733B9F"/>
    <w:rsid w:val="00733F06"/>
    <w:rsid w:val="007342F3"/>
    <w:rsid w:val="00734487"/>
    <w:rsid w:val="00734F2F"/>
    <w:rsid w:val="00734FC8"/>
    <w:rsid w:val="00735641"/>
    <w:rsid w:val="007357E0"/>
    <w:rsid w:val="007358F6"/>
    <w:rsid w:val="00735A21"/>
    <w:rsid w:val="00735D7C"/>
    <w:rsid w:val="0073703D"/>
    <w:rsid w:val="00740698"/>
    <w:rsid w:val="00740BB1"/>
    <w:rsid w:val="007416ED"/>
    <w:rsid w:val="007419E8"/>
    <w:rsid w:val="007423A2"/>
    <w:rsid w:val="00743544"/>
    <w:rsid w:val="00746105"/>
    <w:rsid w:val="00746BD2"/>
    <w:rsid w:val="00746EB4"/>
    <w:rsid w:val="007501FB"/>
    <w:rsid w:val="00750391"/>
    <w:rsid w:val="00750A43"/>
    <w:rsid w:val="00750ADC"/>
    <w:rsid w:val="00750F83"/>
    <w:rsid w:val="00751C19"/>
    <w:rsid w:val="00752277"/>
    <w:rsid w:val="00752A8C"/>
    <w:rsid w:val="0075478E"/>
    <w:rsid w:val="00754970"/>
    <w:rsid w:val="007554DB"/>
    <w:rsid w:val="00755C73"/>
    <w:rsid w:val="00755FB6"/>
    <w:rsid w:val="00756448"/>
    <w:rsid w:val="00756F08"/>
    <w:rsid w:val="0076007C"/>
    <w:rsid w:val="00760201"/>
    <w:rsid w:val="00760490"/>
    <w:rsid w:val="007605F3"/>
    <w:rsid w:val="00760735"/>
    <w:rsid w:val="0076167A"/>
    <w:rsid w:val="00761A98"/>
    <w:rsid w:val="00761E50"/>
    <w:rsid w:val="007624D2"/>
    <w:rsid w:val="00762D77"/>
    <w:rsid w:val="007632C2"/>
    <w:rsid w:val="00763834"/>
    <w:rsid w:val="00763A81"/>
    <w:rsid w:val="00764FAE"/>
    <w:rsid w:val="007652D9"/>
    <w:rsid w:val="007654B0"/>
    <w:rsid w:val="007655D9"/>
    <w:rsid w:val="007659AC"/>
    <w:rsid w:val="007669CE"/>
    <w:rsid w:val="007669DF"/>
    <w:rsid w:val="00767364"/>
    <w:rsid w:val="00767C08"/>
    <w:rsid w:val="0077090E"/>
    <w:rsid w:val="00771F6B"/>
    <w:rsid w:val="00772A24"/>
    <w:rsid w:val="00773654"/>
    <w:rsid w:val="00773A3A"/>
    <w:rsid w:val="00776848"/>
    <w:rsid w:val="00776C3C"/>
    <w:rsid w:val="00776C77"/>
    <w:rsid w:val="00776C90"/>
    <w:rsid w:val="0077723D"/>
    <w:rsid w:val="00777D12"/>
    <w:rsid w:val="00777E24"/>
    <w:rsid w:val="00780A0C"/>
    <w:rsid w:val="00780BAC"/>
    <w:rsid w:val="00781A79"/>
    <w:rsid w:val="00782C0D"/>
    <w:rsid w:val="007830B2"/>
    <w:rsid w:val="00783518"/>
    <w:rsid w:val="007835BF"/>
    <w:rsid w:val="00783D22"/>
    <w:rsid w:val="00784640"/>
    <w:rsid w:val="007872F1"/>
    <w:rsid w:val="00787398"/>
    <w:rsid w:val="00787D8D"/>
    <w:rsid w:val="00790002"/>
    <w:rsid w:val="00790125"/>
    <w:rsid w:val="0079090C"/>
    <w:rsid w:val="00791D1C"/>
    <w:rsid w:val="00791DBE"/>
    <w:rsid w:val="007926E1"/>
    <w:rsid w:val="007929F8"/>
    <w:rsid w:val="00792C7F"/>
    <w:rsid w:val="00792D36"/>
    <w:rsid w:val="00792E85"/>
    <w:rsid w:val="0079334A"/>
    <w:rsid w:val="0079423C"/>
    <w:rsid w:val="00794A6D"/>
    <w:rsid w:val="00794F62"/>
    <w:rsid w:val="00795005"/>
    <w:rsid w:val="0079500E"/>
    <w:rsid w:val="00795224"/>
    <w:rsid w:val="00795F2E"/>
    <w:rsid w:val="00796509"/>
    <w:rsid w:val="00796537"/>
    <w:rsid w:val="00796D62"/>
    <w:rsid w:val="0079708C"/>
    <w:rsid w:val="00797578"/>
    <w:rsid w:val="00797646"/>
    <w:rsid w:val="00797CEB"/>
    <w:rsid w:val="007A06E9"/>
    <w:rsid w:val="007A1865"/>
    <w:rsid w:val="007A19D0"/>
    <w:rsid w:val="007A2189"/>
    <w:rsid w:val="007A2498"/>
    <w:rsid w:val="007A2EE0"/>
    <w:rsid w:val="007A3F81"/>
    <w:rsid w:val="007A5B13"/>
    <w:rsid w:val="007A5C3D"/>
    <w:rsid w:val="007A5F46"/>
    <w:rsid w:val="007A62AB"/>
    <w:rsid w:val="007A7193"/>
    <w:rsid w:val="007B00A1"/>
    <w:rsid w:val="007B0B3A"/>
    <w:rsid w:val="007B11B7"/>
    <w:rsid w:val="007B1343"/>
    <w:rsid w:val="007B1351"/>
    <w:rsid w:val="007B22F7"/>
    <w:rsid w:val="007B2E7C"/>
    <w:rsid w:val="007B485A"/>
    <w:rsid w:val="007B5681"/>
    <w:rsid w:val="007B5993"/>
    <w:rsid w:val="007B6C89"/>
    <w:rsid w:val="007B6E2F"/>
    <w:rsid w:val="007B76A1"/>
    <w:rsid w:val="007B7960"/>
    <w:rsid w:val="007B7A3E"/>
    <w:rsid w:val="007C0E60"/>
    <w:rsid w:val="007C16BF"/>
    <w:rsid w:val="007C171A"/>
    <w:rsid w:val="007C1798"/>
    <w:rsid w:val="007C22AD"/>
    <w:rsid w:val="007C2526"/>
    <w:rsid w:val="007C2E63"/>
    <w:rsid w:val="007C314C"/>
    <w:rsid w:val="007C3944"/>
    <w:rsid w:val="007C3CBF"/>
    <w:rsid w:val="007C4248"/>
    <w:rsid w:val="007C4568"/>
    <w:rsid w:val="007C4BFA"/>
    <w:rsid w:val="007C4DA8"/>
    <w:rsid w:val="007C5331"/>
    <w:rsid w:val="007C71D8"/>
    <w:rsid w:val="007C7B7D"/>
    <w:rsid w:val="007C7CFF"/>
    <w:rsid w:val="007D0039"/>
    <w:rsid w:val="007D0BDE"/>
    <w:rsid w:val="007D0D9E"/>
    <w:rsid w:val="007D16A5"/>
    <w:rsid w:val="007D186E"/>
    <w:rsid w:val="007D1C80"/>
    <w:rsid w:val="007D1C91"/>
    <w:rsid w:val="007D1F3C"/>
    <w:rsid w:val="007D286E"/>
    <w:rsid w:val="007D2B06"/>
    <w:rsid w:val="007D30FB"/>
    <w:rsid w:val="007D3E5A"/>
    <w:rsid w:val="007D3F14"/>
    <w:rsid w:val="007D472E"/>
    <w:rsid w:val="007D4D13"/>
    <w:rsid w:val="007D582D"/>
    <w:rsid w:val="007D58A8"/>
    <w:rsid w:val="007D5B87"/>
    <w:rsid w:val="007D6297"/>
    <w:rsid w:val="007D65BE"/>
    <w:rsid w:val="007D6904"/>
    <w:rsid w:val="007E0CA7"/>
    <w:rsid w:val="007E151C"/>
    <w:rsid w:val="007E1CA0"/>
    <w:rsid w:val="007E318C"/>
    <w:rsid w:val="007E3566"/>
    <w:rsid w:val="007E3AE9"/>
    <w:rsid w:val="007E3C49"/>
    <w:rsid w:val="007E4835"/>
    <w:rsid w:val="007E5119"/>
    <w:rsid w:val="007E55AF"/>
    <w:rsid w:val="007E5AA5"/>
    <w:rsid w:val="007E5AD8"/>
    <w:rsid w:val="007E610E"/>
    <w:rsid w:val="007E6407"/>
    <w:rsid w:val="007E6C52"/>
    <w:rsid w:val="007E6EF9"/>
    <w:rsid w:val="007F068C"/>
    <w:rsid w:val="007F0876"/>
    <w:rsid w:val="007F1E20"/>
    <w:rsid w:val="007F26F7"/>
    <w:rsid w:val="007F2A56"/>
    <w:rsid w:val="007F2C2B"/>
    <w:rsid w:val="007F2DA7"/>
    <w:rsid w:val="007F4DFD"/>
    <w:rsid w:val="007F5B1A"/>
    <w:rsid w:val="007F5BB9"/>
    <w:rsid w:val="007F5E95"/>
    <w:rsid w:val="007F60E3"/>
    <w:rsid w:val="007F68E1"/>
    <w:rsid w:val="007F6E37"/>
    <w:rsid w:val="007F74D9"/>
    <w:rsid w:val="008002F6"/>
    <w:rsid w:val="00800418"/>
    <w:rsid w:val="00800E39"/>
    <w:rsid w:val="008017D9"/>
    <w:rsid w:val="00802069"/>
    <w:rsid w:val="008028F8"/>
    <w:rsid w:val="00803883"/>
    <w:rsid w:val="008039F1"/>
    <w:rsid w:val="008041AD"/>
    <w:rsid w:val="0080428C"/>
    <w:rsid w:val="00804AB4"/>
    <w:rsid w:val="00805AB1"/>
    <w:rsid w:val="008073F4"/>
    <w:rsid w:val="008075BD"/>
    <w:rsid w:val="00807DAB"/>
    <w:rsid w:val="00810C1F"/>
    <w:rsid w:val="00810C48"/>
    <w:rsid w:val="00811457"/>
    <w:rsid w:val="00811FF4"/>
    <w:rsid w:val="00812219"/>
    <w:rsid w:val="0081382F"/>
    <w:rsid w:val="008149DE"/>
    <w:rsid w:val="00815BFB"/>
    <w:rsid w:val="008160AE"/>
    <w:rsid w:val="0081797B"/>
    <w:rsid w:val="0082023B"/>
    <w:rsid w:val="00820292"/>
    <w:rsid w:val="00820C93"/>
    <w:rsid w:val="00821247"/>
    <w:rsid w:val="00821482"/>
    <w:rsid w:val="008216C2"/>
    <w:rsid w:val="00822347"/>
    <w:rsid w:val="00822641"/>
    <w:rsid w:val="008232E9"/>
    <w:rsid w:val="00823385"/>
    <w:rsid w:val="008247CB"/>
    <w:rsid w:val="008248E2"/>
    <w:rsid w:val="0082513F"/>
    <w:rsid w:val="008253CF"/>
    <w:rsid w:val="0082552D"/>
    <w:rsid w:val="00825E54"/>
    <w:rsid w:val="00825ECC"/>
    <w:rsid w:val="00826129"/>
    <w:rsid w:val="00826E66"/>
    <w:rsid w:val="008273CE"/>
    <w:rsid w:val="008274F0"/>
    <w:rsid w:val="0082761C"/>
    <w:rsid w:val="00827886"/>
    <w:rsid w:val="008278CD"/>
    <w:rsid w:val="00827D87"/>
    <w:rsid w:val="0083028E"/>
    <w:rsid w:val="008306A7"/>
    <w:rsid w:val="008306D9"/>
    <w:rsid w:val="008315D8"/>
    <w:rsid w:val="00832B95"/>
    <w:rsid w:val="008334E7"/>
    <w:rsid w:val="00833A16"/>
    <w:rsid w:val="00834173"/>
    <w:rsid w:val="00834B9D"/>
    <w:rsid w:val="008350D0"/>
    <w:rsid w:val="008352EF"/>
    <w:rsid w:val="00835E40"/>
    <w:rsid w:val="00835F3F"/>
    <w:rsid w:val="0083651C"/>
    <w:rsid w:val="00836D09"/>
    <w:rsid w:val="008370EA"/>
    <w:rsid w:val="00840277"/>
    <w:rsid w:val="00840B26"/>
    <w:rsid w:val="00841024"/>
    <w:rsid w:val="00841C1A"/>
    <w:rsid w:val="00841F44"/>
    <w:rsid w:val="00842159"/>
    <w:rsid w:val="0084332A"/>
    <w:rsid w:val="008436B9"/>
    <w:rsid w:val="0084387F"/>
    <w:rsid w:val="00844667"/>
    <w:rsid w:val="008449AA"/>
    <w:rsid w:val="008452E4"/>
    <w:rsid w:val="00845A4D"/>
    <w:rsid w:val="0084648B"/>
    <w:rsid w:val="008469A8"/>
    <w:rsid w:val="00847181"/>
    <w:rsid w:val="008473AA"/>
    <w:rsid w:val="0085036A"/>
    <w:rsid w:val="008504C8"/>
    <w:rsid w:val="008517ED"/>
    <w:rsid w:val="00852926"/>
    <w:rsid w:val="0085309B"/>
    <w:rsid w:val="0085323D"/>
    <w:rsid w:val="0085391C"/>
    <w:rsid w:val="00853D3F"/>
    <w:rsid w:val="008540A7"/>
    <w:rsid w:val="008543D4"/>
    <w:rsid w:val="00854697"/>
    <w:rsid w:val="008546D2"/>
    <w:rsid w:val="008547CC"/>
    <w:rsid w:val="00855AD1"/>
    <w:rsid w:val="00855B11"/>
    <w:rsid w:val="00855C64"/>
    <w:rsid w:val="00855F56"/>
    <w:rsid w:val="008561BD"/>
    <w:rsid w:val="00857A57"/>
    <w:rsid w:val="00857E36"/>
    <w:rsid w:val="00860652"/>
    <w:rsid w:val="0086134B"/>
    <w:rsid w:val="00861F2F"/>
    <w:rsid w:val="00862A48"/>
    <w:rsid w:val="00864C00"/>
    <w:rsid w:val="00864FD9"/>
    <w:rsid w:val="0086596B"/>
    <w:rsid w:val="00865988"/>
    <w:rsid w:val="00866297"/>
    <w:rsid w:val="00867807"/>
    <w:rsid w:val="00870698"/>
    <w:rsid w:val="008708FA"/>
    <w:rsid w:val="00871BFD"/>
    <w:rsid w:val="008729F9"/>
    <w:rsid w:val="008737B2"/>
    <w:rsid w:val="00874816"/>
    <w:rsid w:val="00874A17"/>
    <w:rsid w:val="00875625"/>
    <w:rsid w:val="00875A4B"/>
    <w:rsid w:val="00875CFA"/>
    <w:rsid w:val="00876217"/>
    <w:rsid w:val="008772FC"/>
    <w:rsid w:val="00877D9F"/>
    <w:rsid w:val="0088032C"/>
    <w:rsid w:val="00880366"/>
    <w:rsid w:val="008808E3"/>
    <w:rsid w:val="0088139E"/>
    <w:rsid w:val="00881DA1"/>
    <w:rsid w:val="008825DA"/>
    <w:rsid w:val="008829F3"/>
    <w:rsid w:val="008833E3"/>
    <w:rsid w:val="00883643"/>
    <w:rsid w:val="008847FE"/>
    <w:rsid w:val="008848AA"/>
    <w:rsid w:val="008850EB"/>
    <w:rsid w:val="008855B5"/>
    <w:rsid w:val="0088662A"/>
    <w:rsid w:val="00886898"/>
    <w:rsid w:val="00886AA8"/>
    <w:rsid w:val="0088787B"/>
    <w:rsid w:val="00887AF2"/>
    <w:rsid w:val="0089056E"/>
    <w:rsid w:val="008907F3"/>
    <w:rsid w:val="00892240"/>
    <w:rsid w:val="0089225C"/>
    <w:rsid w:val="008925AE"/>
    <w:rsid w:val="00892FAE"/>
    <w:rsid w:val="008930E0"/>
    <w:rsid w:val="008936ED"/>
    <w:rsid w:val="008945F1"/>
    <w:rsid w:val="0089484F"/>
    <w:rsid w:val="00894AFB"/>
    <w:rsid w:val="00894DE5"/>
    <w:rsid w:val="00894F2F"/>
    <w:rsid w:val="00895526"/>
    <w:rsid w:val="008957EF"/>
    <w:rsid w:val="0089630E"/>
    <w:rsid w:val="0089676B"/>
    <w:rsid w:val="00896C3A"/>
    <w:rsid w:val="00896DD6"/>
    <w:rsid w:val="00896E43"/>
    <w:rsid w:val="00897166"/>
    <w:rsid w:val="00897CBD"/>
    <w:rsid w:val="008A057E"/>
    <w:rsid w:val="008A09C4"/>
    <w:rsid w:val="008A211B"/>
    <w:rsid w:val="008A25D3"/>
    <w:rsid w:val="008A304C"/>
    <w:rsid w:val="008A365C"/>
    <w:rsid w:val="008A38CF"/>
    <w:rsid w:val="008A3ADB"/>
    <w:rsid w:val="008A3EF3"/>
    <w:rsid w:val="008A4D33"/>
    <w:rsid w:val="008A5FAA"/>
    <w:rsid w:val="008A6148"/>
    <w:rsid w:val="008A74B2"/>
    <w:rsid w:val="008A7A81"/>
    <w:rsid w:val="008B023A"/>
    <w:rsid w:val="008B0F58"/>
    <w:rsid w:val="008B0F89"/>
    <w:rsid w:val="008B154D"/>
    <w:rsid w:val="008B1663"/>
    <w:rsid w:val="008B1924"/>
    <w:rsid w:val="008B1994"/>
    <w:rsid w:val="008B253A"/>
    <w:rsid w:val="008B2F23"/>
    <w:rsid w:val="008B325C"/>
    <w:rsid w:val="008B3D05"/>
    <w:rsid w:val="008B413E"/>
    <w:rsid w:val="008B4580"/>
    <w:rsid w:val="008B4856"/>
    <w:rsid w:val="008B51F1"/>
    <w:rsid w:val="008B5902"/>
    <w:rsid w:val="008B61AB"/>
    <w:rsid w:val="008C134B"/>
    <w:rsid w:val="008C23BE"/>
    <w:rsid w:val="008C2868"/>
    <w:rsid w:val="008C3D6F"/>
    <w:rsid w:val="008C41D5"/>
    <w:rsid w:val="008C4227"/>
    <w:rsid w:val="008C4C92"/>
    <w:rsid w:val="008C4D2F"/>
    <w:rsid w:val="008C4D69"/>
    <w:rsid w:val="008C511E"/>
    <w:rsid w:val="008C535D"/>
    <w:rsid w:val="008C585A"/>
    <w:rsid w:val="008C69F0"/>
    <w:rsid w:val="008C6D02"/>
    <w:rsid w:val="008C6D65"/>
    <w:rsid w:val="008D037F"/>
    <w:rsid w:val="008D038F"/>
    <w:rsid w:val="008D0F45"/>
    <w:rsid w:val="008D12F9"/>
    <w:rsid w:val="008D19EB"/>
    <w:rsid w:val="008D32BA"/>
    <w:rsid w:val="008D35EF"/>
    <w:rsid w:val="008D3934"/>
    <w:rsid w:val="008D53EC"/>
    <w:rsid w:val="008D597E"/>
    <w:rsid w:val="008D6097"/>
    <w:rsid w:val="008D6243"/>
    <w:rsid w:val="008D71DA"/>
    <w:rsid w:val="008E0D76"/>
    <w:rsid w:val="008E1A97"/>
    <w:rsid w:val="008E1CD9"/>
    <w:rsid w:val="008E27DA"/>
    <w:rsid w:val="008E2AEC"/>
    <w:rsid w:val="008E2C04"/>
    <w:rsid w:val="008E349C"/>
    <w:rsid w:val="008E3CF3"/>
    <w:rsid w:val="008E3FC9"/>
    <w:rsid w:val="008E519C"/>
    <w:rsid w:val="008E54E2"/>
    <w:rsid w:val="008E5509"/>
    <w:rsid w:val="008E5A05"/>
    <w:rsid w:val="008E5C49"/>
    <w:rsid w:val="008E6A06"/>
    <w:rsid w:val="008E7244"/>
    <w:rsid w:val="008E7EAD"/>
    <w:rsid w:val="008F130A"/>
    <w:rsid w:val="008F27ED"/>
    <w:rsid w:val="008F28C9"/>
    <w:rsid w:val="008F3115"/>
    <w:rsid w:val="008F3956"/>
    <w:rsid w:val="008F3BA8"/>
    <w:rsid w:val="008F4311"/>
    <w:rsid w:val="008F44D1"/>
    <w:rsid w:val="008F5A2A"/>
    <w:rsid w:val="008F6195"/>
    <w:rsid w:val="008F6DDD"/>
    <w:rsid w:val="00900F55"/>
    <w:rsid w:val="00901790"/>
    <w:rsid w:val="00902051"/>
    <w:rsid w:val="00902130"/>
    <w:rsid w:val="00902F02"/>
    <w:rsid w:val="00903406"/>
    <w:rsid w:val="009037B8"/>
    <w:rsid w:val="00903F4F"/>
    <w:rsid w:val="0090418C"/>
    <w:rsid w:val="009058A5"/>
    <w:rsid w:val="0090611C"/>
    <w:rsid w:val="009063D4"/>
    <w:rsid w:val="0090643A"/>
    <w:rsid w:val="00906CBE"/>
    <w:rsid w:val="009077DB"/>
    <w:rsid w:val="00907B0A"/>
    <w:rsid w:val="00910C72"/>
    <w:rsid w:val="009129A6"/>
    <w:rsid w:val="00912C50"/>
    <w:rsid w:val="00913399"/>
    <w:rsid w:val="00913756"/>
    <w:rsid w:val="0091410A"/>
    <w:rsid w:val="009144C2"/>
    <w:rsid w:val="009159CE"/>
    <w:rsid w:val="00916633"/>
    <w:rsid w:val="00916DD5"/>
    <w:rsid w:val="009203F5"/>
    <w:rsid w:val="00920809"/>
    <w:rsid w:val="00921D78"/>
    <w:rsid w:val="009222BE"/>
    <w:rsid w:val="00923B7D"/>
    <w:rsid w:val="00923E83"/>
    <w:rsid w:val="009247A9"/>
    <w:rsid w:val="00924E6E"/>
    <w:rsid w:val="009255FF"/>
    <w:rsid w:val="00926154"/>
    <w:rsid w:val="0092660B"/>
    <w:rsid w:val="00926D36"/>
    <w:rsid w:val="00926E41"/>
    <w:rsid w:val="00927A33"/>
    <w:rsid w:val="00927B07"/>
    <w:rsid w:val="00930088"/>
    <w:rsid w:val="00930297"/>
    <w:rsid w:val="0093088D"/>
    <w:rsid w:val="00931723"/>
    <w:rsid w:val="00931B05"/>
    <w:rsid w:val="00931C23"/>
    <w:rsid w:val="00931C55"/>
    <w:rsid w:val="009320E6"/>
    <w:rsid w:val="009328F4"/>
    <w:rsid w:val="00932C1F"/>
    <w:rsid w:val="0093314D"/>
    <w:rsid w:val="00934B16"/>
    <w:rsid w:val="00936762"/>
    <w:rsid w:val="00936900"/>
    <w:rsid w:val="00937084"/>
    <w:rsid w:val="00937B09"/>
    <w:rsid w:val="00937E43"/>
    <w:rsid w:val="0094051E"/>
    <w:rsid w:val="00940854"/>
    <w:rsid w:val="00940B4E"/>
    <w:rsid w:val="009419C4"/>
    <w:rsid w:val="00941FAA"/>
    <w:rsid w:val="009422EF"/>
    <w:rsid w:val="0094245D"/>
    <w:rsid w:val="00942ACB"/>
    <w:rsid w:val="00942EF5"/>
    <w:rsid w:val="00942F35"/>
    <w:rsid w:val="00943802"/>
    <w:rsid w:val="00943DA9"/>
    <w:rsid w:val="009447A5"/>
    <w:rsid w:val="00944876"/>
    <w:rsid w:val="00945374"/>
    <w:rsid w:val="00945E7E"/>
    <w:rsid w:val="00946256"/>
    <w:rsid w:val="009468E9"/>
    <w:rsid w:val="00950045"/>
    <w:rsid w:val="00950AAF"/>
    <w:rsid w:val="00950FAF"/>
    <w:rsid w:val="009511AC"/>
    <w:rsid w:val="009517E2"/>
    <w:rsid w:val="00951BD6"/>
    <w:rsid w:val="00952112"/>
    <w:rsid w:val="009540C1"/>
    <w:rsid w:val="009541B2"/>
    <w:rsid w:val="00955691"/>
    <w:rsid w:val="00955932"/>
    <w:rsid w:val="00955E2C"/>
    <w:rsid w:val="0095626D"/>
    <w:rsid w:val="00956D4D"/>
    <w:rsid w:val="00957A0E"/>
    <w:rsid w:val="00957E9A"/>
    <w:rsid w:val="00960A38"/>
    <w:rsid w:val="00960BE1"/>
    <w:rsid w:val="00960C29"/>
    <w:rsid w:val="00960DFF"/>
    <w:rsid w:val="00960E78"/>
    <w:rsid w:val="009613CC"/>
    <w:rsid w:val="009614E1"/>
    <w:rsid w:val="00961A6A"/>
    <w:rsid w:val="00961BCD"/>
    <w:rsid w:val="00961CCE"/>
    <w:rsid w:val="00961F22"/>
    <w:rsid w:val="00961F85"/>
    <w:rsid w:val="0096203B"/>
    <w:rsid w:val="00963A3C"/>
    <w:rsid w:val="00964488"/>
    <w:rsid w:val="00964792"/>
    <w:rsid w:val="009648D7"/>
    <w:rsid w:val="0096578C"/>
    <w:rsid w:val="009658A0"/>
    <w:rsid w:val="00966F87"/>
    <w:rsid w:val="00966FA4"/>
    <w:rsid w:val="009670D1"/>
    <w:rsid w:val="00967486"/>
    <w:rsid w:val="009679B4"/>
    <w:rsid w:val="00967A39"/>
    <w:rsid w:val="00970A37"/>
    <w:rsid w:val="00970C1C"/>
    <w:rsid w:val="00970CF6"/>
    <w:rsid w:val="00971040"/>
    <w:rsid w:val="0097188D"/>
    <w:rsid w:val="009718C3"/>
    <w:rsid w:val="00972307"/>
    <w:rsid w:val="0097269F"/>
    <w:rsid w:val="00972B76"/>
    <w:rsid w:val="0097312F"/>
    <w:rsid w:val="00973BCE"/>
    <w:rsid w:val="009742E3"/>
    <w:rsid w:val="00975D6A"/>
    <w:rsid w:val="00975DFC"/>
    <w:rsid w:val="0097658B"/>
    <w:rsid w:val="00976B17"/>
    <w:rsid w:val="00977844"/>
    <w:rsid w:val="0097795B"/>
    <w:rsid w:val="00977C40"/>
    <w:rsid w:val="00980677"/>
    <w:rsid w:val="00980FAE"/>
    <w:rsid w:val="00981766"/>
    <w:rsid w:val="009818EB"/>
    <w:rsid w:val="00981A26"/>
    <w:rsid w:val="00982DC9"/>
    <w:rsid w:val="009833AE"/>
    <w:rsid w:val="00983A0B"/>
    <w:rsid w:val="0098400E"/>
    <w:rsid w:val="00984778"/>
    <w:rsid w:val="00984CB6"/>
    <w:rsid w:val="00984D83"/>
    <w:rsid w:val="009852DC"/>
    <w:rsid w:val="009853ED"/>
    <w:rsid w:val="00985E15"/>
    <w:rsid w:val="00985F3F"/>
    <w:rsid w:val="00986AD4"/>
    <w:rsid w:val="00986BE3"/>
    <w:rsid w:val="00990032"/>
    <w:rsid w:val="009905F6"/>
    <w:rsid w:val="00990D75"/>
    <w:rsid w:val="009924CD"/>
    <w:rsid w:val="009929FE"/>
    <w:rsid w:val="00993062"/>
    <w:rsid w:val="009939A8"/>
    <w:rsid w:val="00994D34"/>
    <w:rsid w:val="00995847"/>
    <w:rsid w:val="00995DB8"/>
    <w:rsid w:val="009978B8"/>
    <w:rsid w:val="00997AB5"/>
    <w:rsid w:val="00997E63"/>
    <w:rsid w:val="009A0342"/>
    <w:rsid w:val="009A0B79"/>
    <w:rsid w:val="009A1B48"/>
    <w:rsid w:val="009A24E2"/>
    <w:rsid w:val="009A26B8"/>
    <w:rsid w:val="009A3498"/>
    <w:rsid w:val="009A37DD"/>
    <w:rsid w:val="009A3977"/>
    <w:rsid w:val="009A400B"/>
    <w:rsid w:val="009A40C9"/>
    <w:rsid w:val="009A429D"/>
    <w:rsid w:val="009A4878"/>
    <w:rsid w:val="009A4962"/>
    <w:rsid w:val="009A5515"/>
    <w:rsid w:val="009A6578"/>
    <w:rsid w:val="009A660D"/>
    <w:rsid w:val="009A6AA2"/>
    <w:rsid w:val="009A75D6"/>
    <w:rsid w:val="009A7A3A"/>
    <w:rsid w:val="009A7C7D"/>
    <w:rsid w:val="009A7E28"/>
    <w:rsid w:val="009B1092"/>
    <w:rsid w:val="009B1708"/>
    <w:rsid w:val="009B1B87"/>
    <w:rsid w:val="009B1DFF"/>
    <w:rsid w:val="009B20A2"/>
    <w:rsid w:val="009B21A1"/>
    <w:rsid w:val="009B234F"/>
    <w:rsid w:val="009B26D9"/>
    <w:rsid w:val="009B3E66"/>
    <w:rsid w:val="009B5F08"/>
    <w:rsid w:val="009B61CC"/>
    <w:rsid w:val="009B623E"/>
    <w:rsid w:val="009C109E"/>
    <w:rsid w:val="009C1201"/>
    <w:rsid w:val="009C2B4D"/>
    <w:rsid w:val="009C3377"/>
    <w:rsid w:val="009C389E"/>
    <w:rsid w:val="009C3AA1"/>
    <w:rsid w:val="009C41D6"/>
    <w:rsid w:val="009C5281"/>
    <w:rsid w:val="009C5F6A"/>
    <w:rsid w:val="009C5FC8"/>
    <w:rsid w:val="009C62DA"/>
    <w:rsid w:val="009C692E"/>
    <w:rsid w:val="009C7274"/>
    <w:rsid w:val="009C75AD"/>
    <w:rsid w:val="009C79DD"/>
    <w:rsid w:val="009C7DCF"/>
    <w:rsid w:val="009D001A"/>
    <w:rsid w:val="009D014A"/>
    <w:rsid w:val="009D049D"/>
    <w:rsid w:val="009D0A61"/>
    <w:rsid w:val="009D0C39"/>
    <w:rsid w:val="009D0CDA"/>
    <w:rsid w:val="009D0D69"/>
    <w:rsid w:val="009D1392"/>
    <w:rsid w:val="009D1EEA"/>
    <w:rsid w:val="009D2742"/>
    <w:rsid w:val="009D2BDD"/>
    <w:rsid w:val="009D4128"/>
    <w:rsid w:val="009D47DE"/>
    <w:rsid w:val="009D4906"/>
    <w:rsid w:val="009D52BE"/>
    <w:rsid w:val="009D67EF"/>
    <w:rsid w:val="009D6E02"/>
    <w:rsid w:val="009D6E3D"/>
    <w:rsid w:val="009D700B"/>
    <w:rsid w:val="009D7EDF"/>
    <w:rsid w:val="009E0252"/>
    <w:rsid w:val="009E193B"/>
    <w:rsid w:val="009E1B44"/>
    <w:rsid w:val="009E24D6"/>
    <w:rsid w:val="009E35E1"/>
    <w:rsid w:val="009E43BA"/>
    <w:rsid w:val="009E47D5"/>
    <w:rsid w:val="009E4EB4"/>
    <w:rsid w:val="009E5043"/>
    <w:rsid w:val="009E5426"/>
    <w:rsid w:val="009E5E01"/>
    <w:rsid w:val="009E6B4A"/>
    <w:rsid w:val="009E7D84"/>
    <w:rsid w:val="009F0284"/>
    <w:rsid w:val="009F0449"/>
    <w:rsid w:val="009F073C"/>
    <w:rsid w:val="009F0CBF"/>
    <w:rsid w:val="009F0E09"/>
    <w:rsid w:val="009F11C6"/>
    <w:rsid w:val="009F1387"/>
    <w:rsid w:val="009F139C"/>
    <w:rsid w:val="009F13F6"/>
    <w:rsid w:val="009F15CC"/>
    <w:rsid w:val="009F19E6"/>
    <w:rsid w:val="009F2487"/>
    <w:rsid w:val="009F3003"/>
    <w:rsid w:val="009F526C"/>
    <w:rsid w:val="009F560B"/>
    <w:rsid w:val="009F5ABE"/>
    <w:rsid w:val="009F7B8D"/>
    <w:rsid w:val="009F7BCA"/>
    <w:rsid w:val="00A0007E"/>
    <w:rsid w:val="00A00279"/>
    <w:rsid w:val="00A00966"/>
    <w:rsid w:val="00A00A9B"/>
    <w:rsid w:val="00A00CEA"/>
    <w:rsid w:val="00A01A52"/>
    <w:rsid w:val="00A01BA3"/>
    <w:rsid w:val="00A02032"/>
    <w:rsid w:val="00A02F92"/>
    <w:rsid w:val="00A02FBB"/>
    <w:rsid w:val="00A03186"/>
    <w:rsid w:val="00A03425"/>
    <w:rsid w:val="00A03D4E"/>
    <w:rsid w:val="00A04154"/>
    <w:rsid w:val="00A049E9"/>
    <w:rsid w:val="00A04DF7"/>
    <w:rsid w:val="00A0511A"/>
    <w:rsid w:val="00A056A0"/>
    <w:rsid w:val="00A05EEC"/>
    <w:rsid w:val="00A060E9"/>
    <w:rsid w:val="00A06401"/>
    <w:rsid w:val="00A06BD1"/>
    <w:rsid w:val="00A07E5D"/>
    <w:rsid w:val="00A10A52"/>
    <w:rsid w:val="00A11275"/>
    <w:rsid w:val="00A119FE"/>
    <w:rsid w:val="00A11D31"/>
    <w:rsid w:val="00A128FF"/>
    <w:rsid w:val="00A1316C"/>
    <w:rsid w:val="00A1379C"/>
    <w:rsid w:val="00A13A7F"/>
    <w:rsid w:val="00A13E4D"/>
    <w:rsid w:val="00A13E62"/>
    <w:rsid w:val="00A14C5C"/>
    <w:rsid w:val="00A155BF"/>
    <w:rsid w:val="00A16322"/>
    <w:rsid w:val="00A16AD8"/>
    <w:rsid w:val="00A17B5C"/>
    <w:rsid w:val="00A17E0F"/>
    <w:rsid w:val="00A20113"/>
    <w:rsid w:val="00A2037D"/>
    <w:rsid w:val="00A2039D"/>
    <w:rsid w:val="00A2073C"/>
    <w:rsid w:val="00A2179B"/>
    <w:rsid w:val="00A21A75"/>
    <w:rsid w:val="00A2291E"/>
    <w:rsid w:val="00A22E11"/>
    <w:rsid w:val="00A23E5C"/>
    <w:rsid w:val="00A246A7"/>
    <w:rsid w:val="00A248A8"/>
    <w:rsid w:val="00A24BAD"/>
    <w:rsid w:val="00A24E08"/>
    <w:rsid w:val="00A24E67"/>
    <w:rsid w:val="00A25874"/>
    <w:rsid w:val="00A25D93"/>
    <w:rsid w:val="00A25F91"/>
    <w:rsid w:val="00A269EE"/>
    <w:rsid w:val="00A26E88"/>
    <w:rsid w:val="00A26E92"/>
    <w:rsid w:val="00A30C1E"/>
    <w:rsid w:val="00A30EC1"/>
    <w:rsid w:val="00A30FCF"/>
    <w:rsid w:val="00A310F3"/>
    <w:rsid w:val="00A32025"/>
    <w:rsid w:val="00A328C9"/>
    <w:rsid w:val="00A33E71"/>
    <w:rsid w:val="00A340D0"/>
    <w:rsid w:val="00A3481C"/>
    <w:rsid w:val="00A35149"/>
    <w:rsid w:val="00A356F1"/>
    <w:rsid w:val="00A3620F"/>
    <w:rsid w:val="00A3641F"/>
    <w:rsid w:val="00A36540"/>
    <w:rsid w:val="00A367E7"/>
    <w:rsid w:val="00A36D8B"/>
    <w:rsid w:val="00A37191"/>
    <w:rsid w:val="00A37496"/>
    <w:rsid w:val="00A41778"/>
    <w:rsid w:val="00A41B21"/>
    <w:rsid w:val="00A42018"/>
    <w:rsid w:val="00A4295C"/>
    <w:rsid w:val="00A42A09"/>
    <w:rsid w:val="00A43731"/>
    <w:rsid w:val="00A44CF7"/>
    <w:rsid w:val="00A44F24"/>
    <w:rsid w:val="00A4537F"/>
    <w:rsid w:val="00A454B3"/>
    <w:rsid w:val="00A4565E"/>
    <w:rsid w:val="00A456F7"/>
    <w:rsid w:val="00A45AD2"/>
    <w:rsid w:val="00A46799"/>
    <w:rsid w:val="00A476A4"/>
    <w:rsid w:val="00A4777D"/>
    <w:rsid w:val="00A47AF2"/>
    <w:rsid w:val="00A50015"/>
    <w:rsid w:val="00A50026"/>
    <w:rsid w:val="00A5068D"/>
    <w:rsid w:val="00A51892"/>
    <w:rsid w:val="00A519D0"/>
    <w:rsid w:val="00A51A9E"/>
    <w:rsid w:val="00A52072"/>
    <w:rsid w:val="00A53453"/>
    <w:rsid w:val="00A53815"/>
    <w:rsid w:val="00A5393C"/>
    <w:rsid w:val="00A563DF"/>
    <w:rsid w:val="00A56D14"/>
    <w:rsid w:val="00A577D5"/>
    <w:rsid w:val="00A57A4B"/>
    <w:rsid w:val="00A608C0"/>
    <w:rsid w:val="00A614C1"/>
    <w:rsid w:val="00A618BF"/>
    <w:rsid w:val="00A61B43"/>
    <w:rsid w:val="00A61EAE"/>
    <w:rsid w:val="00A6238D"/>
    <w:rsid w:val="00A6348E"/>
    <w:rsid w:val="00A65879"/>
    <w:rsid w:val="00A658B2"/>
    <w:rsid w:val="00A672CF"/>
    <w:rsid w:val="00A673E7"/>
    <w:rsid w:val="00A703E0"/>
    <w:rsid w:val="00A708D5"/>
    <w:rsid w:val="00A70D23"/>
    <w:rsid w:val="00A70E7C"/>
    <w:rsid w:val="00A71300"/>
    <w:rsid w:val="00A72B52"/>
    <w:rsid w:val="00A72F7D"/>
    <w:rsid w:val="00A74E92"/>
    <w:rsid w:val="00A75085"/>
    <w:rsid w:val="00A75342"/>
    <w:rsid w:val="00A754E0"/>
    <w:rsid w:val="00A75753"/>
    <w:rsid w:val="00A75E9B"/>
    <w:rsid w:val="00A75F2A"/>
    <w:rsid w:val="00A7649E"/>
    <w:rsid w:val="00A76574"/>
    <w:rsid w:val="00A7669A"/>
    <w:rsid w:val="00A7689A"/>
    <w:rsid w:val="00A768CB"/>
    <w:rsid w:val="00A76F81"/>
    <w:rsid w:val="00A7752C"/>
    <w:rsid w:val="00A77E7A"/>
    <w:rsid w:val="00A80212"/>
    <w:rsid w:val="00A80521"/>
    <w:rsid w:val="00A818F8"/>
    <w:rsid w:val="00A81E56"/>
    <w:rsid w:val="00A8386B"/>
    <w:rsid w:val="00A8413A"/>
    <w:rsid w:val="00A845DF"/>
    <w:rsid w:val="00A857BA"/>
    <w:rsid w:val="00A85A1E"/>
    <w:rsid w:val="00A87A1A"/>
    <w:rsid w:val="00A87C5A"/>
    <w:rsid w:val="00A87F35"/>
    <w:rsid w:val="00A90711"/>
    <w:rsid w:val="00A915AC"/>
    <w:rsid w:val="00A91E94"/>
    <w:rsid w:val="00A91FE4"/>
    <w:rsid w:val="00A922FB"/>
    <w:rsid w:val="00A925C6"/>
    <w:rsid w:val="00A92712"/>
    <w:rsid w:val="00A93444"/>
    <w:rsid w:val="00A93528"/>
    <w:rsid w:val="00A93A3C"/>
    <w:rsid w:val="00A9419C"/>
    <w:rsid w:val="00A944E6"/>
    <w:rsid w:val="00A94F03"/>
    <w:rsid w:val="00A95075"/>
    <w:rsid w:val="00A957E6"/>
    <w:rsid w:val="00A95A34"/>
    <w:rsid w:val="00A96437"/>
    <w:rsid w:val="00A97003"/>
    <w:rsid w:val="00A9731D"/>
    <w:rsid w:val="00A975D7"/>
    <w:rsid w:val="00A977C6"/>
    <w:rsid w:val="00A97B3F"/>
    <w:rsid w:val="00AA0574"/>
    <w:rsid w:val="00AA0EF1"/>
    <w:rsid w:val="00AA11E1"/>
    <w:rsid w:val="00AA18EB"/>
    <w:rsid w:val="00AA1A85"/>
    <w:rsid w:val="00AA25E7"/>
    <w:rsid w:val="00AA3ACA"/>
    <w:rsid w:val="00AA4762"/>
    <w:rsid w:val="00AA4E85"/>
    <w:rsid w:val="00AA505C"/>
    <w:rsid w:val="00AA5583"/>
    <w:rsid w:val="00AA5B94"/>
    <w:rsid w:val="00AA62FE"/>
    <w:rsid w:val="00AA73A3"/>
    <w:rsid w:val="00AA769A"/>
    <w:rsid w:val="00AA7CC4"/>
    <w:rsid w:val="00AB0145"/>
    <w:rsid w:val="00AB0BEE"/>
    <w:rsid w:val="00AB19DE"/>
    <w:rsid w:val="00AB1B19"/>
    <w:rsid w:val="00AB23D2"/>
    <w:rsid w:val="00AB2A49"/>
    <w:rsid w:val="00AB3A79"/>
    <w:rsid w:val="00AB4684"/>
    <w:rsid w:val="00AB52D4"/>
    <w:rsid w:val="00AB534D"/>
    <w:rsid w:val="00AB5894"/>
    <w:rsid w:val="00AB60C3"/>
    <w:rsid w:val="00AB70FA"/>
    <w:rsid w:val="00AB7818"/>
    <w:rsid w:val="00AC12D4"/>
    <w:rsid w:val="00AC1995"/>
    <w:rsid w:val="00AC3033"/>
    <w:rsid w:val="00AC3568"/>
    <w:rsid w:val="00AC35CD"/>
    <w:rsid w:val="00AC3C02"/>
    <w:rsid w:val="00AC3E55"/>
    <w:rsid w:val="00AC4243"/>
    <w:rsid w:val="00AC4249"/>
    <w:rsid w:val="00AC42DF"/>
    <w:rsid w:val="00AC4739"/>
    <w:rsid w:val="00AC4B5E"/>
    <w:rsid w:val="00AC5E18"/>
    <w:rsid w:val="00AC6FA6"/>
    <w:rsid w:val="00AC7421"/>
    <w:rsid w:val="00AD0038"/>
    <w:rsid w:val="00AD0459"/>
    <w:rsid w:val="00AD0864"/>
    <w:rsid w:val="00AD14BC"/>
    <w:rsid w:val="00AD16CF"/>
    <w:rsid w:val="00AD2361"/>
    <w:rsid w:val="00AD258A"/>
    <w:rsid w:val="00AD2C04"/>
    <w:rsid w:val="00AD2F30"/>
    <w:rsid w:val="00AD31C1"/>
    <w:rsid w:val="00AD3A8F"/>
    <w:rsid w:val="00AD47F0"/>
    <w:rsid w:val="00AD4916"/>
    <w:rsid w:val="00AD4A75"/>
    <w:rsid w:val="00AD4E29"/>
    <w:rsid w:val="00AD5B5A"/>
    <w:rsid w:val="00AD5F43"/>
    <w:rsid w:val="00AD6A53"/>
    <w:rsid w:val="00AD6F72"/>
    <w:rsid w:val="00AD7875"/>
    <w:rsid w:val="00AD7DC0"/>
    <w:rsid w:val="00AD7DDD"/>
    <w:rsid w:val="00AE00B3"/>
    <w:rsid w:val="00AE03C7"/>
    <w:rsid w:val="00AE0846"/>
    <w:rsid w:val="00AE0FC4"/>
    <w:rsid w:val="00AE14CC"/>
    <w:rsid w:val="00AE2E77"/>
    <w:rsid w:val="00AE3551"/>
    <w:rsid w:val="00AE3841"/>
    <w:rsid w:val="00AE3CA2"/>
    <w:rsid w:val="00AE3D07"/>
    <w:rsid w:val="00AE4136"/>
    <w:rsid w:val="00AE6016"/>
    <w:rsid w:val="00AE6257"/>
    <w:rsid w:val="00AE68A5"/>
    <w:rsid w:val="00AE6EC0"/>
    <w:rsid w:val="00AE7422"/>
    <w:rsid w:val="00AE766D"/>
    <w:rsid w:val="00AE7A61"/>
    <w:rsid w:val="00AF0985"/>
    <w:rsid w:val="00AF0A08"/>
    <w:rsid w:val="00AF0F25"/>
    <w:rsid w:val="00AF146C"/>
    <w:rsid w:val="00AF1DAE"/>
    <w:rsid w:val="00AF204C"/>
    <w:rsid w:val="00AF31A8"/>
    <w:rsid w:val="00AF337A"/>
    <w:rsid w:val="00AF362C"/>
    <w:rsid w:val="00AF3BA4"/>
    <w:rsid w:val="00AF4300"/>
    <w:rsid w:val="00AF4EA2"/>
    <w:rsid w:val="00AF59C4"/>
    <w:rsid w:val="00AF5C16"/>
    <w:rsid w:val="00AF6CE7"/>
    <w:rsid w:val="00AF741B"/>
    <w:rsid w:val="00AF7E19"/>
    <w:rsid w:val="00B00D68"/>
    <w:rsid w:val="00B0206F"/>
    <w:rsid w:val="00B021BE"/>
    <w:rsid w:val="00B02498"/>
    <w:rsid w:val="00B02ED0"/>
    <w:rsid w:val="00B0303C"/>
    <w:rsid w:val="00B03566"/>
    <w:rsid w:val="00B0407D"/>
    <w:rsid w:val="00B0418A"/>
    <w:rsid w:val="00B04E4A"/>
    <w:rsid w:val="00B04F69"/>
    <w:rsid w:val="00B052C2"/>
    <w:rsid w:val="00B06DB9"/>
    <w:rsid w:val="00B10BF7"/>
    <w:rsid w:val="00B1100C"/>
    <w:rsid w:val="00B111C9"/>
    <w:rsid w:val="00B113C7"/>
    <w:rsid w:val="00B11B01"/>
    <w:rsid w:val="00B11D14"/>
    <w:rsid w:val="00B11DD5"/>
    <w:rsid w:val="00B12BC4"/>
    <w:rsid w:val="00B130BD"/>
    <w:rsid w:val="00B13507"/>
    <w:rsid w:val="00B14980"/>
    <w:rsid w:val="00B15144"/>
    <w:rsid w:val="00B1521E"/>
    <w:rsid w:val="00B168E5"/>
    <w:rsid w:val="00B20142"/>
    <w:rsid w:val="00B20602"/>
    <w:rsid w:val="00B20ADC"/>
    <w:rsid w:val="00B21124"/>
    <w:rsid w:val="00B21A7A"/>
    <w:rsid w:val="00B22813"/>
    <w:rsid w:val="00B23351"/>
    <w:rsid w:val="00B234FA"/>
    <w:rsid w:val="00B239E6"/>
    <w:rsid w:val="00B24623"/>
    <w:rsid w:val="00B2482E"/>
    <w:rsid w:val="00B2547F"/>
    <w:rsid w:val="00B25561"/>
    <w:rsid w:val="00B25822"/>
    <w:rsid w:val="00B258ED"/>
    <w:rsid w:val="00B25A43"/>
    <w:rsid w:val="00B25CFC"/>
    <w:rsid w:val="00B260E3"/>
    <w:rsid w:val="00B26236"/>
    <w:rsid w:val="00B267E1"/>
    <w:rsid w:val="00B2698A"/>
    <w:rsid w:val="00B26B6C"/>
    <w:rsid w:val="00B27554"/>
    <w:rsid w:val="00B2792E"/>
    <w:rsid w:val="00B27B39"/>
    <w:rsid w:val="00B27CEF"/>
    <w:rsid w:val="00B30E32"/>
    <w:rsid w:val="00B30FF6"/>
    <w:rsid w:val="00B32119"/>
    <w:rsid w:val="00B32877"/>
    <w:rsid w:val="00B32F1B"/>
    <w:rsid w:val="00B334A2"/>
    <w:rsid w:val="00B33645"/>
    <w:rsid w:val="00B352AB"/>
    <w:rsid w:val="00B352E4"/>
    <w:rsid w:val="00B35DE4"/>
    <w:rsid w:val="00B35EB4"/>
    <w:rsid w:val="00B362EA"/>
    <w:rsid w:val="00B36C18"/>
    <w:rsid w:val="00B36D5C"/>
    <w:rsid w:val="00B3719B"/>
    <w:rsid w:val="00B374EF"/>
    <w:rsid w:val="00B40B31"/>
    <w:rsid w:val="00B41185"/>
    <w:rsid w:val="00B414CA"/>
    <w:rsid w:val="00B41C07"/>
    <w:rsid w:val="00B41D75"/>
    <w:rsid w:val="00B41E7B"/>
    <w:rsid w:val="00B42B41"/>
    <w:rsid w:val="00B431D5"/>
    <w:rsid w:val="00B4387B"/>
    <w:rsid w:val="00B447EC"/>
    <w:rsid w:val="00B44F5B"/>
    <w:rsid w:val="00B46BCB"/>
    <w:rsid w:val="00B46BDC"/>
    <w:rsid w:val="00B4732F"/>
    <w:rsid w:val="00B473D4"/>
    <w:rsid w:val="00B5007C"/>
    <w:rsid w:val="00B50E0C"/>
    <w:rsid w:val="00B51665"/>
    <w:rsid w:val="00B5188A"/>
    <w:rsid w:val="00B51B34"/>
    <w:rsid w:val="00B527FB"/>
    <w:rsid w:val="00B5280E"/>
    <w:rsid w:val="00B52B37"/>
    <w:rsid w:val="00B530F7"/>
    <w:rsid w:val="00B5340F"/>
    <w:rsid w:val="00B53895"/>
    <w:rsid w:val="00B53C40"/>
    <w:rsid w:val="00B540C9"/>
    <w:rsid w:val="00B54797"/>
    <w:rsid w:val="00B54962"/>
    <w:rsid w:val="00B5598B"/>
    <w:rsid w:val="00B5648A"/>
    <w:rsid w:val="00B56506"/>
    <w:rsid w:val="00B567A7"/>
    <w:rsid w:val="00B56CA5"/>
    <w:rsid w:val="00B571C9"/>
    <w:rsid w:val="00B57BC2"/>
    <w:rsid w:val="00B60E5C"/>
    <w:rsid w:val="00B61B4A"/>
    <w:rsid w:val="00B61C1C"/>
    <w:rsid w:val="00B6226A"/>
    <w:rsid w:val="00B623C0"/>
    <w:rsid w:val="00B626CF"/>
    <w:rsid w:val="00B62F20"/>
    <w:rsid w:val="00B63112"/>
    <w:rsid w:val="00B6369E"/>
    <w:rsid w:val="00B636E1"/>
    <w:rsid w:val="00B64D1C"/>
    <w:rsid w:val="00B6578D"/>
    <w:rsid w:val="00B65F39"/>
    <w:rsid w:val="00B663F0"/>
    <w:rsid w:val="00B66F1F"/>
    <w:rsid w:val="00B678D5"/>
    <w:rsid w:val="00B67DB2"/>
    <w:rsid w:val="00B67EF4"/>
    <w:rsid w:val="00B712EC"/>
    <w:rsid w:val="00B72776"/>
    <w:rsid w:val="00B7279C"/>
    <w:rsid w:val="00B727C6"/>
    <w:rsid w:val="00B72E40"/>
    <w:rsid w:val="00B72FAD"/>
    <w:rsid w:val="00B738D7"/>
    <w:rsid w:val="00B74019"/>
    <w:rsid w:val="00B742F5"/>
    <w:rsid w:val="00B74F59"/>
    <w:rsid w:val="00B74FB9"/>
    <w:rsid w:val="00B752AD"/>
    <w:rsid w:val="00B754BB"/>
    <w:rsid w:val="00B7568C"/>
    <w:rsid w:val="00B75716"/>
    <w:rsid w:val="00B76175"/>
    <w:rsid w:val="00B765D7"/>
    <w:rsid w:val="00B778B3"/>
    <w:rsid w:val="00B8006C"/>
    <w:rsid w:val="00B80094"/>
    <w:rsid w:val="00B8045E"/>
    <w:rsid w:val="00B812B6"/>
    <w:rsid w:val="00B81C50"/>
    <w:rsid w:val="00B81D8F"/>
    <w:rsid w:val="00B822BD"/>
    <w:rsid w:val="00B82651"/>
    <w:rsid w:val="00B82A03"/>
    <w:rsid w:val="00B83FB6"/>
    <w:rsid w:val="00B85173"/>
    <w:rsid w:val="00B8570B"/>
    <w:rsid w:val="00B86AB5"/>
    <w:rsid w:val="00B86E95"/>
    <w:rsid w:val="00B873B1"/>
    <w:rsid w:val="00B9081F"/>
    <w:rsid w:val="00B912A3"/>
    <w:rsid w:val="00B91471"/>
    <w:rsid w:val="00B91BD6"/>
    <w:rsid w:val="00B91F7D"/>
    <w:rsid w:val="00B92717"/>
    <w:rsid w:val="00B92B29"/>
    <w:rsid w:val="00B92DD4"/>
    <w:rsid w:val="00B93620"/>
    <w:rsid w:val="00B936ED"/>
    <w:rsid w:val="00B9372D"/>
    <w:rsid w:val="00B938CC"/>
    <w:rsid w:val="00B93CF7"/>
    <w:rsid w:val="00B94CF6"/>
    <w:rsid w:val="00B94D01"/>
    <w:rsid w:val="00B95851"/>
    <w:rsid w:val="00B96888"/>
    <w:rsid w:val="00B96C6B"/>
    <w:rsid w:val="00B971E3"/>
    <w:rsid w:val="00B97550"/>
    <w:rsid w:val="00B97BC5"/>
    <w:rsid w:val="00B97BDB"/>
    <w:rsid w:val="00B97DEC"/>
    <w:rsid w:val="00B97E28"/>
    <w:rsid w:val="00BA0BD0"/>
    <w:rsid w:val="00BA14B4"/>
    <w:rsid w:val="00BA1687"/>
    <w:rsid w:val="00BA1883"/>
    <w:rsid w:val="00BA1894"/>
    <w:rsid w:val="00BA1B7B"/>
    <w:rsid w:val="00BA2015"/>
    <w:rsid w:val="00BA2410"/>
    <w:rsid w:val="00BA27DE"/>
    <w:rsid w:val="00BA36BB"/>
    <w:rsid w:val="00BA4243"/>
    <w:rsid w:val="00BA4467"/>
    <w:rsid w:val="00BA4B5A"/>
    <w:rsid w:val="00BA6DDF"/>
    <w:rsid w:val="00BA6E21"/>
    <w:rsid w:val="00BA736D"/>
    <w:rsid w:val="00BA7E52"/>
    <w:rsid w:val="00BB0093"/>
    <w:rsid w:val="00BB1106"/>
    <w:rsid w:val="00BB1DB2"/>
    <w:rsid w:val="00BB34DB"/>
    <w:rsid w:val="00BB34DC"/>
    <w:rsid w:val="00BB3CD3"/>
    <w:rsid w:val="00BB3F51"/>
    <w:rsid w:val="00BB3FC6"/>
    <w:rsid w:val="00BB4040"/>
    <w:rsid w:val="00BB417F"/>
    <w:rsid w:val="00BB4852"/>
    <w:rsid w:val="00BB4C65"/>
    <w:rsid w:val="00BB4DFC"/>
    <w:rsid w:val="00BB535D"/>
    <w:rsid w:val="00BB60E6"/>
    <w:rsid w:val="00BB6DD3"/>
    <w:rsid w:val="00BB7869"/>
    <w:rsid w:val="00BC0012"/>
    <w:rsid w:val="00BC0BE2"/>
    <w:rsid w:val="00BC14D5"/>
    <w:rsid w:val="00BC15A7"/>
    <w:rsid w:val="00BC207A"/>
    <w:rsid w:val="00BC26FD"/>
    <w:rsid w:val="00BC27FC"/>
    <w:rsid w:val="00BC3428"/>
    <w:rsid w:val="00BC38D9"/>
    <w:rsid w:val="00BC4401"/>
    <w:rsid w:val="00BC5693"/>
    <w:rsid w:val="00BC63B8"/>
    <w:rsid w:val="00BC64AE"/>
    <w:rsid w:val="00BC6CA7"/>
    <w:rsid w:val="00BD08AE"/>
    <w:rsid w:val="00BD093B"/>
    <w:rsid w:val="00BD0F69"/>
    <w:rsid w:val="00BD11E2"/>
    <w:rsid w:val="00BD11FA"/>
    <w:rsid w:val="00BD2B5B"/>
    <w:rsid w:val="00BD3298"/>
    <w:rsid w:val="00BD42EB"/>
    <w:rsid w:val="00BD52B6"/>
    <w:rsid w:val="00BD548C"/>
    <w:rsid w:val="00BD71B2"/>
    <w:rsid w:val="00BD7F8D"/>
    <w:rsid w:val="00BE05C7"/>
    <w:rsid w:val="00BE0BFC"/>
    <w:rsid w:val="00BE20D9"/>
    <w:rsid w:val="00BE25F1"/>
    <w:rsid w:val="00BE383E"/>
    <w:rsid w:val="00BE3BCC"/>
    <w:rsid w:val="00BE4065"/>
    <w:rsid w:val="00BE6379"/>
    <w:rsid w:val="00BE6762"/>
    <w:rsid w:val="00BE71B3"/>
    <w:rsid w:val="00BE7793"/>
    <w:rsid w:val="00BF1037"/>
    <w:rsid w:val="00BF1612"/>
    <w:rsid w:val="00BF1883"/>
    <w:rsid w:val="00BF19B9"/>
    <w:rsid w:val="00BF1AE3"/>
    <w:rsid w:val="00BF3282"/>
    <w:rsid w:val="00BF33D9"/>
    <w:rsid w:val="00BF3FC3"/>
    <w:rsid w:val="00BF4100"/>
    <w:rsid w:val="00BF463D"/>
    <w:rsid w:val="00BF4D68"/>
    <w:rsid w:val="00BF4EB1"/>
    <w:rsid w:val="00BF50DD"/>
    <w:rsid w:val="00BF5457"/>
    <w:rsid w:val="00BF5AB8"/>
    <w:rsid w:val="00BF5E80"/>
    <w:rsid w:val="00BF6582"/>
    <w:rsid w:val="00BF6716"/>
    <w:rsid w:val="00BF6FF0"/>
    <w:rsid w:val="00BF707E"/>
    <w:rsid w:val="00BF7D48"/>
    <w:rsid w:val="00C0151A"/>
    <w:rsid w:val="00C02501"/>
    <w:rsid w:val="00C02AA5"/>
    <w:rsid w:val="00C0337C"/>
    <w:rsid w:val="00C0386E"/>
    <w:rsid w:val="00C038DE"/>
    <w:rsid w:val="00C039A4"/>
    <w:rsid w:val="00C03BDC"/>
    <w:rsid w:val="00C0434B"/>
    <w:rsid w:val="00C04595"/>
    <w:rsid w:val="00C05D3A"/>
    <w:rsid w:val="00C061A9"/>
    <w:rsid w:val="00C064F1"/>
    <w:rsid w:val="00C06C37"/>
    <w:rsid w:val="00C07337"/>
    <w:rsid w:val="00C07648"/>
    <w:rsid w:val="00C1061F"/>
    <w:rsid w:val="00C10E6C"/>
    <w:rsid w:val="00C11071"/>
    <w:rsid w:val="00C11214"/>
    <w:rsid w:val="00C11546"/>
    <w:rsid w:val="00C126EE"/>
    <w:rsid w:val="00C12B46"/>
    <w:rsid w:val="00C12CEC"/>
    <w:rsid w:val="00C13BA2"/>
    <w:rsid w:val="00C14011"/>
    <w:rsid w:val="00C147F3"/>
    <w:rsid w:val="00C157C4"/>
    <w:rsid w:val="00C15872"/>
    <w:rsid w:val="00C1617F"/>
    <w:rsid w:val="00C162A0"/>
    <w:rsid w:val="00C16FD4"/>
    <w:rsid w:val="00C16FEE"/>
    <w:rsid w:val="00C170BA"/>
    <w:rsid w:val="00C17A22"/>
    <w:rsid w:val="00C20655"/>
    <w:rsid w:val="00C20CB7"/>
    <w:rsid w:val="00C20E01"/>
    <w:rsid w:val="00C21076"/>
    <w:rsid w:val="00C227FF"/>
    <w:rsid w:val="00C22AAC"/>
    <w:rsid w:val="00C23390"/>
    <w:rsid w:val="00C23645"/>
    <w:rsid w:val="00C238CC"/>
    <w:rsid w:val="00C23B41"/>
    <w:rsid w:val="00C23CDC"/>
    <w:rsid w:val="00C23CED"/>
    <w:rsid w:val="00C2406B"/>
    <w:rsid w:val="00C258B4"/>
    <w:rsid w:val="00C25C35"/>
    <w:rsid w:val="00C25D58"/>
    <w:rsid w:val="00C25DF3"/>
    <w:rsid w:val="00C265A7"/>
    <w:rsid w:val="00C269D0"/>
    <w:rsid w:val="00C26A9F"/>
    <w:rsid w:val="00C27048"/>
    <w:rsid w:val="00C2790E"/>
    <w:rsid w:val="00C30729"/>
    <w:rsid w:val="00C30D87"/>
    <w:rsid w:val="00C3195A"/>
    <w:rsid w:val="00C32342"/>
    <w:rsid w:val="00C32698"/>
    <w:rsid w:val="00C327B8"/>
    <w:rsid w:val="00C334BB"/>
    <w:rsid w:val="00C33CC2"/>
    <w:rsid w:val="00C3420B"/>
    <w:rsid w:val="00C3435D"/>
    <w:rsid w:val="00C360BF"/>
    <w:rsid w:val="00C36B05"/>
    <w:rsid w:val="00C376F1"/>
    <w:rsid w:val="00C407AE"/>
    <w:rsid w:val="00C40FA0"/>
    <w:rsid w:val="00C4186F"/>
    <w:rsid w:val="00C421D6"/>
    <w:rsid w:val="00C42296"/>
    <w:rsid w:val="00C42552"/>
    <w:rsid w:val="00C42885"/>
    <w:rsid w:val="00C437B1"/>
    <w:rsid w:val="00C445AA"/>
    <w:rsid w:val="00C4482F"/>
    <w:rsid w:val="00C450E2"/>
    <w:rsid w:val="00C455E4"/>
    <w:rsid w:val="00C457E9"/>
    <w:rsid w:val="00C47096"/>
    <w:rsid w:val="00C47205"/>
    <w:rsid w:val="00C47665"/>
    <w:rsid w:val="00C47909"/>
    <w:rsid w:val="00C47976"/>
    <w:rsid w:val="00C47E92"/>
    <w:rsid w:val="00C50702"/>
    <w:rsid w:val="00C50DC2"/>
    <w:rsid w:val="00C50F15"/>
    <w:rsid w:val="00C52142"/>
    <w:rsid w:val="00C52C66"/>
    <w:rsid w:val="00C52F5A"/>
    <w:rsid w:val="00C536A0"/>
    <w:rsid w:val="00C54867"/>
    <w:rsid w:val="00C55989"/>
    <w:rsid w:val="00C55EB5"/>
    <w:rsid w:val="00C578D7"/>
    <w:rsid w:val="00C57FC8"/>
    <w:rsid w:val="00C60B70"/>
    <w:rsid w:val="00C60EE3"/>
    <w:rsid w:val="00C61C69"/>
    <w:rsid w:val="00C62018"/>
    <w:rsid w:val="00C6228B"/>
    <w:rsid w:val="00C62A5C"/>
    <w:rsid w:val="00C63758"/>
    <w:rsid w:val="00C642AD"/>
    <w:rsid w:val="00C64771"/>
    <w:rsid w:val="00C64F8E"/>
    <w:rsid w:val="00C65ED3"/>
    <w:rsid w:val="00C66F0B"/>
    <w:rsid w:val="00C67DBF"/>
    <w:rsid w:val="00C70218"/>
    <w:rsid w:val="00C70A8A"/>
    <w:rsid w:val="00C712F3"/>
    <w:rsid w:val="00C71C85"/>
    <w:rsid w:val="00C71C89"/>
    <w:rsid w:val="00C723A4"/>
    <w:rsid w:val="00C727AA"/>
    <w:rsid w:val="00C72B38"/>
    <w:rsid w:val="00C737CE"/>
    <w:rsid w:val="00C746A8"/>
    <w:rsid w:val="00C746C1"/>
    <w:rsid w:val="00C7507E"/>
    <w:rsid w:val="00C754E9"/>
    <w:rsid w:val="00C75E66"/>
    <w:rsid w:val="00C77B41"/>
    <w:rsid w:val="00C77CA1"/>
    <w:rsid w:val="00C801E7"/>
    <w:rsid w:val="00C80481"/>
    <w:rsid w:val="00C81474"/>
    <w:rsid w:val="00C81A0F"/>
    <w:rsid w:val="00C830F9"/>
    <w:rsid w:val="00C83101"/>
    <w:rsid w:val="00C8337E"/>
    <w:rsid w:val="00C85322"/>
    <w:rsid w:val="00C854BB"/>
    <w:rsid w:val="00C85888"/>
    <w:rsid w:val="00C859B5"/>
    <w:rsid w:val="00C86B13"/>
    <w:rsid w:val="00C86FD3"/>
    <w:rsid w:val="00C8708A"/>
    <w:rsid w:val="00C87982"/>
    <w:rsid w:val="00C87EB7"/>
    <w:rsid w:val="00C908C0"/>
    <w:rsid w:val="00C90E47"/>
    <w:rsid w:val="00C918B6"/>
    <w:rsid w:val="00C924A9"/>
    <w:rsid w:val="00C92A76"/>
    <w:rsid w:val="00C93BBF"/>
    <w:rsid w:val="00C93E02"/>
    <w:rsid w:val="00C93F24"/>
    <w:rsid w:val="00C94639"/>
    <w:rsid w:val="00C9550B"/>
    <w:rsid w:val="00C95B4A"/>
    <w:rsid w:val="00C95E66"/>
    <w:rsid w:val="00C95F6D"/>
    <w:rsid w:val="00C95FBC"/>
    <w:rsid w:val="00C96247"/>
    <w:rsid w:val="00C96338"/>
    <w:rsid w:val="00C96F9B"/>
    <w:rsid w:val="00C972B0"/>
    <w:rsid w:val="00C9735B"/>
    <w:rsid w:val="00CA0510"/>
    <w:rsid w:val="00CA08A8"/>
    <w:rsid w:val="00CA0F0C"/>
    <w:rsid w:val="00CA11AF"/>
    <w:rsid w:val="00CA1286"/>
    <w:rsid w:val="00CA168E"/>
    <w:rsid w:val="00CA1C87"/>
    <w:rsid w:val="00CA1E0C"/>
    <w:rsid w:val="00CA2D1D"/>
    <w:rsid w:val="00CA39B6"/>
    <w:rsid w:val="00CA3F93"/>
    <w:rsid w:val="00CA42A4"/>
    <w:rsid w:val="00CA511B"/>
    <w:rsid w:val="00CA5218"/>
    <w:rsid w:val="00CB05A5"/>
    <w:rsid w:val="00CB0757"/>
    <w:rsid w:val="00CB1B6E"/>
    <w:rsid w:val="00CB1C06"/>
    <w:rsid w:val="00CB1D81"/>
    <w:rsid w:val="00CB1E9F"/>
    <w:rsid w:val="00CB209C"/>
    <w:rsid w:val="00CB2EA8"/>
    <w:rsid w:val="00CB2F73"/>
    <w:rsid w:val="00CB3144"/>
    <w:rsid w:val="00CB32BE"/>
    <w:rsid w:val="00CB3733"/>
    <w:rsid w:val="00CB3FAA"/>
    <w:rsid w:val="00CB422A"/>
    <w:rsid w:val="00CB42F0"/>
    <w:rsid w:val="00CB45C5"/>
    <w:rsid w:val="00CB53AE"/>
    <w:rsid w:val="00CB53C9"/>
    <w:rsid w:val="00CB5DA1"/>
    <w:rsid w:val="00CB645A"/>
    <w:rsid w:val="00CB65F9"/>
    <w:rsid w:val="00CB68F0"/>
    <w:rsid w:val="00CB7671"/>
    <w:rsid w:val="00CB7DD6"/>
    <w:rsid w:val="00CB7DE0"/>
    <w:rsid w:val="00CB7EBF"/>
    <w:rsid w:val="00CC011C"/>
    <w:rsid w:val="00CC2509"/>
    <w:rsid w:val="00CC2EB1"/>
    <w:rsid w:val="00CC37B9"/>
    <w:rsid w:val="00CC558F"/>
    <w:rsid w:val="00CC5A71"/>
    <w:rsid w:val="00CC5C6B"/>
    <w:rsid w:val="00CC66E1"/>
    <w:rsid w:val="00CC68C8"/>
    <w:rsid w:val="00CC6AE9"/>
    <w:rsid w:val="00CC74A0"/>
    <w:rsid w:val="00CD0311"/>
    <w:rsid w:val="00CD07BE"/>
    <w:rsid w:val="00CD0A04"/>
    <w:rsid w:val="00CD1B31"/>
    <w:rsid w:val="00CD1B55"/>
    <w:rsid w:val="00CD1C23"/>
    <w:rsid w:val="00CD1C37"/>
    <w:rsid w:val="00CD1E03"/>
    <w:rsid w:val="00CD2134"/>
    <w:rsid w:val="00CD2602"/>
    <w:rsid w:val="00CD2AE3"/>
    <w:rsid w:val="00CD2F19"/>
    <w:rsid w:val="00CD2FB5"/>
    <w:rsid w:val="00CD3146"/>
    <w:rsid w:val="00CD3656"/>
    <w:rsid w:val="00CD6112"/>
    <w:rsid w:val="00CD62DA"/>
    <w:rsid w:val="00CD6384"/>
    <w:rsid w:val="00CD67F7"/>
    <w:rsid w:val="00CD6BD8"/>
    <w:rsid w:val="00CD6D49"/>
    <w:rsid w:val="00CD7EBD"/>
    <w:rsid w:val="00CE1028"/>
    <w:rsid w:val="00CE1253"/>
    <w:rsid w:val="00CE1E6D"/>
    <w:rsid w:val="00CE1E8F"/>
    <w:rsid w:val="00CE28FF"/>
    <w:rsid w:val="00CE33F4"/>
    <w:rsid w:val="00CE3C65"/>
    <w:rsid w:val="00CE3E7B"/>
    <w:rsid w:val="00CE4269"/>
    <w:rsid w:val="00CE4654"/>
    <w:rsid w:val="00CE4685"/>
    <w:rsid w:val="00CE5616"/>
    <w:rsid w:val="00CE7600"/>
    <w:rsid w:val="00CE780C"/>
    <w:rsid w:val="00CF0C39"/>
    <w:rsid w:val="00CF0C90"/>
    <w:rsid w:val="00CF0E31"/>
    <w:rsid w:val="00CF16B6"/>
    <w:rsid w:val="00CF19B0"/>
    <w:rsid w:val="00CF1C15"/>
    <w:rsid w:val="00CF1D2E"/>
    <w:rsid w:val="00CF1F11"/>
    <w:rsid w:val="00CF31B8"/>
    <w:rsid w:val="00CF34FE"/>
    <w:rsid w:val="00CF371B"/>
    <w:rsid w:val="00CF39D7"/>
    <w:rsid w:val="00CF407D"/>
    <w:rsid w:val="00CF5BED"/>
    <w:rsid w:val="00CF633A"/>
    <w:rsid w:val="00CF670A"/>
    <w:rsid w:val="00CF6C67"/>
    <w:rsid w:val="00CF7175"/>
    <w:rsid w:val="00CF7959"/>
    <w:rsid w:val="00D0081E"/>
    <w:rsid w:val="00D00ED8"/>
    <w:rsid w:val="00D00F57"/>
    <w:rsid w:val="00D0149D"/>
    <w:rsid w:val="00D01526"/>
    <w:rsid w:val="00D01A9C"/>
    <w:rsid w:val="00D01D35"/>
    <w:rsid w:val="00D01E0B"/>
    <w:rsid w:val="00D01EF7"/>
    <w:rsid w:val="00D0216D"/>
    <w:rsid w:val="00D02B90"/>
    <w:rsid w:val="00D039A0"/>
    <w:rsid w:val="00D03DC2"/>
    <w:rsid w:val="00D04133"/>
    <w:rsid w:val="00D04478"/>
    <w:rsid w:val="00D0458C"/>
    <w:rsid w:val="00D045CB"/>
    <w:rsid w:val="00D04AAC"/>
    <w:rsid w:val="00D05031"/>
    <w:rsid w:val="00D05440"/>
    <w:rsid w:val="00D0590B"/>
    <w:rsid w:val="00D068F5"/>
    <w:rsid w:val="00D06A3F"/>
    <w:rsid w:val="00D06D82"/>
    <w:rsid w:val="00D07418"/>
    <w:rsid w:val="00D0768C"/>
    <w:rsid w:val="00D076EA"/>
    <w:rsid w:val="00D07D29"/>
    <w:rsid w:val="00D07FF9"/>
    <w:rsid w:val="00D10384"/>
    <w:rsid w:val="00D10422"/>
    <w:rsid w:val="00D10554"/>
    <w:rsid w:val="00D10FED"/>
    <w:rsid w:val="00D1129F"/>
    <w:rsid w:val="00D1135B"/>
    <w:rsid w:val="00D114EE"/>
    <w:rsid w:val="00D11793"/>
    <w:rsid w:val="00D11918"/>
    <w:rsid w:val="00D12733"/>
    <w:rsid w:val="00D12A3A"/>
    <w:rsid w:val="00D1358B"/>
    <w:rsid w:val="00D13F64"/>
    <w:rsid w:val="00D13FCA"/>
    <w:rsid w:val="00D14255"/>
    <w:rsid w:val="00D14338"/>
    <w:rsid w:val="00D14AB7"/>
    <w:rsid w:val="00D14B0F"/>
    <w:rsid w:val="00D1507F"/>
    <w:rsid w:val="00D1604C"/>
    <w:rsid w:val="00D161BC"/>
    <w:rsid w:val="00D16C27"/>
    <w:rsid w:val="00D16E80"/>
    <w:rsid w:val="00D1725E"/>
    <w:rsid w:val="00D179A4"/>
    <w:rsid w:val="00D17B9B"/>
    <w:rsid w:val="00D17C7C"/>
    <w:rsid w:val="00D2033F"/>
    <w:rsid w:val="00D20543"/>
    <w:rsid w:val="00D206CD"/>
    <w:rsid w:val="00D21281"/>
    <w:rsid w:val="00D2128B"/>
    <w:rsid w:val="00D216EF"/>
    <w:rsid w:val="00D218B1"/>
    <w:rsid w:val="00D21EB8"/>
    <w:rsid w:val="00D21F17"/>
    <w:rsid w:val="00D2229F"/>
    <w:rsid w:val="00D229F1"/>
    <w:rsid w:val="00D22C0C"/>
    <w:rsid w:val="00D2415A"/>
    <w:rsid w:val="00D24215"/>
    <w:rsid w:val="00D24527"/>
    <w:rsid w:val="00D25626"/>
    <w:rsid w:val="00D25F8F"/>
    <w:rsid w:val="00D263D2"/>
    <w:rsid w:val="00D263F8"/>
    <w:rsid w:val="00D26692"/>
    <w:rsid w:val="00D26F66"/>
    <w:rsid w:val="00D276B8"/>
    <w:rsid w:val="00D30592"/>
    <w:rsid w:val="00D3082C"/>
    <w:rsid w:val="00D31258"/>
    <w:rsid w:val="00D31688"/>
    <w:rsid w:val="00D31961"/>
    <w:rsid w:val="00D31DC2"/>
    <w:rsid w:val="00D31F82"/>
    <w:rsid w:val="00D31F98"/>
    <w:rsid w:val="00D322B5"/>
    <w:rsid w:val="00D32919"/>
    <w:rsid w:val="00D32CC1"/>
    <w:rsid w:val="00D32CD6"/>
    <w:rsid w:val="00D34674"/>
    <w:rsid w:val="00D34C31"/>
    <w:rsid w:val="00D35A3E"/>
    <w:rsid w:val="00D35A56"/>
    <w:rsid w:val="00D37E96"/>
    <w:rsid w:val="00D40223"/>
    <w:rsid w:val="00D4123C"/>
    <w:rsid w:val="00D41427"/>
    <w:rsid w:val="00D41956"/>
    <w:rsid w:val="00D41D63"/>
    <w:rsid w:val="00D4256E"/>
    <w:rsid w:val="00D43904"/>
    <w:rsid w:val="00D43AFF"/>
    <w:rsid w:val="00D43BD4"/>
    <w:rsid w:val="00D4408D"/>
    <w:rsid w:val="00D44408"/>
    <w:rsid w:val="00D44E32"/>
    <w:rsid w:val="00D4538E"/>
    <w:rsid w:val="00D453BD"/>
    <w:rsid w:val="00D462D6"/>
    <w:rsid w:val="00D463B4"/>
    <w:rsid w:val="00D4650B"/>
    <w:rsid w:val="00D465CE"/>
    <w:rsid w:val="00D46638"/>
    <w:rsid w:val="00D46B03"/>
    <w:rsid w:val="00D46BF4"/>
    <w:rsid w:val="00D46C64"/>
    <w:rsid w:val="00D47C8D"/>
    <w:rsid w:val="00D501C0"/>
    <w:rsid w:val="00D50C40"/>
    <w:rsid w:val="00D51726"/>
    <w:rsid w:val="00D52710"/>
    <w:rsid w:val="00D527BF"/>
    <w:rsid w:val="00D52D9F"/>
    <w:rsid w:val="00D53A18"/>
    <w:rsid w:val="00D540FF"/>
    <w:rsid w:val="00D541E2"/>
    <w:rsid w:val="00D55764"/>
    <w:rsid w:val="00D55934"/>
    <w:rsid w:val="00D56F9E"/>
    <w:rsid w:val="00D57331"/>
    <w:rsid w:val="00D57878"/>
    <w:rsid w:val="00D57B1E"/>
    <w:rsid w:val="00D613A6"/>
    <w:rsid w:val="00D6192C"/>
    <w:rsid w:val="00D63705"/>
    <w:rsid w:val="00D63B96"/>
    <w:rsid w:val="00D64F4F"/>
    <w:rsid w:val="00D6536F"/>
    <w:rsid w:val="00D6573E"/>
    <w:rsid w:val="00D65D40"/>
    <w:rsid w:val="00D708EA"/>
    <w:rsid w:val="00D70F8A"/>
    <w:rsid w:val="00D70FA3"/>
    <w:rsid w:val="00D71023"/>
    <w:rsid w:val="00D7130D"/>
    <w:rsid w:val="00D715FC"/>
    <w:rsid w:val="00D72188"/>
    <w:rsid w:val="00D72F6D"/>
    <w:rsid w:val="00D73FBD"/>
    <w:rsid w:val="00D7410D"/>
    <w:rsid w:val="00D7488C"/>
    <w:rsid w:val="00D7538C"/>
    <w:rsid w:val="00D755D3"/>
    <w:rsid w:val="00D75865"/>
    <w:rsid w:val="00D75ED7"/>
    <w:rsid w:val="00D7661A"/>
    <w:rsid w:val="00D766BE"/>
    <w:rsid w:val="00D772AA"/>
    <w:rsid w:val="00D77311"/>
    <w:rsid w:val="00D7766D"/>
    <w:rsid w:val="00D77890"/>
    <w:rsid w:val="00D80321"/>
    <w:rsid w:val="00D80BE9"/>
    <w:rsid w:val="00D80C52"/>
    <w:rsid w:val="00D8111A"/>
    <w:rsid w:val="00D81CDF"/>
    <w:rsid w:val="00D8242B"/>
    <w:rsid w:val="00D83030"/>
    <w:rsid w:val="00D833FB"/>
    <w:rsid w:val="00D83886"/>
    <w:rsid w:val="00D839FE"/>
    <w:rsid w:val="00D83A98"/>
    <w:rsid w:val="00D83B42"/>
    <w:rsid w:val="00D840C6"/>
    <w:rsid w:val="00D8444E"/>
    <w:rsid w:val="00D84B71"/>
    <w:rsid w:val="00D86F7F"/>
    <w:rsid w:val="00D87372"/>
    <w:rsid w:val="00D87D54"/>
    <w:rsid w:val="00D87E15"/>
    <w:rsid w:val="00D902D3"/>
    <w:rsid w:val="00D907B4"/>
    <w:rsid w:val="00D909A9"/>
    <w:rsid w:val="00D90CD5"/>
    <w:rsid w:val="00D918D5"/>
    <w:rsid w:val="00D92051"/>
    <w:rsid w:val="00D922EF"/>
    <w:rsid w:val="00D9302F"/>
    <w:rsid w:val="00D93227"/>
    <w:rsid w:val="00D9368E"/>
    <w:rsid w:val="00D94136"/>
    <w:rsid w:val="00D94209"/>
    <w:rsid w:val="00D94C83"/>
    <w:rsid w:val="00D9680D"/>
    <w:rsid w:val="00D96BD9"/>
    <w:rsid w:val="00D970BC"/>
    <w:rsid w:val="00D97271"/>
    <w:rsid w:val="00D97AE1"/>
    <w:rsid w:val="00DA0458"/>
    <w:rsid w:val="00DA08A4"/>
    <w:rsid w:val="00DA0D03"/>
    <w:rsid w:val="00DA0E09"/>
    <w:rsid w:val="00DA1ED1"/>
    <w:rsid w:val="00DA39C5"/>
    <w:rsid w:val="00DA44E9"/>
    <w:rsid w:val="00DA47D3"/>
    <w:rsid w:val="00DA4A2C"/>
    <w:rsid w:val="00DA4A3B"/>
    <w:rsid w:val="00DA50C8"/>
    <w:rsid w:val="00DA52F9"/>
    <w:rsid w:val="00DA65BF"/>
    <w:rsid w:val="00DA6C19"/>
    <w:rsid w:val="00DA6E91"/>
    <w:rsid w:val="00DA7A58"/>
    <w:rsid w:val="00DB0068"/>
    <w:rsid w:val="00DB0598"/>
    <w:rsid w:val="00DB0F9E"/>
    <w:rsid w:val="00DB1529"/>
    <w:rsid w:val="00DB2679"/>
    <w:rsid w:val="00DB268F"/>
    <w:rsid w:val="00DB27F9"/>
    <w:rsid w:val="00DB2869"/>
    <w:rsid w:val="00DB2DF0"/>
    <w:rsid w:val="00DB4BFE"/>
    <w:rsid w:val="00DB4E81"/>
    <w:rsid w:val="00DB5825"/>
    <w:rsid w:val="00DB6BB4"/>
    <w:rsid w:val="00DB7535"/>
    <w:rsid w:val="00DB76E9"/>
    <w:rsid w:val="00DB7DE9"/>
    <w:rsid w:val="00DB7F66"/>
    <w:rsid w:val="00DC0317"/>
    <w:rsid w:val="00DC0F01"/>
    <w:rsid w:val="00DC108B"/>
    <w:rsid w:val="00DC1650"/>
    <w:rsid w:val="00DC16DC"/>
    <w:rsid w:val="00DC1FEF"/>
    <w:rsid w:val="00DC1FF0"/>
    <w:rsid w:val="00DC2C9A"/>
    <w:rsid w:val="00DC2F61"/>
    <w:rsid w:val="00DC333B"/>
    <w:rsid w:val="00DC356C"/>
    <w:rsid w:val="00DC4370"/>
    <w:rsid w:val="00DC4405"/>
    <w:rsid w:val="00DC49D9"/>
    <w:rsid w:val="00DC5E31"/>
    <w:rsid w:val="00DC7191"/>
    <w:rsid w:val="00DC7970"/>
    <w:rsid w:val="00DD09C1"/>
    <w:rsid w:val="00DD0E1E"/>
    <w:rsid w:val="00DD119D"/>
    <w:rsid w:val="00DD14AD"/>
    <w:rsid w:val="00DD20DB"/>
    <w:rsid w:val="00DD213D"/>
    <w:rsid w:val="00DD228D"/>
    <w:rsid w:val="00DD3678"/>
    <w:rsid w:val="00DD4B07"/>
    <w:rsid w:val="00DD566B"/>
    <w:rsid w:val="00DD5873"/>
    <w:rsid w:val="00DD60BD"/>
    <w:rsid w:val="00DD6117"/>
    <w:rsid w:val="00DD633D"/>
    <w:rsid w:val="00DD64B7"/>
    <w:rsid w:val="00DD69D1"/>
    <w:rsid w:val="00DD7129"/>
    <w:rsid w:val="00DD733D"/>
    <w:rsid w:val="00DD7622"/>
    <w:rsid w:val="00DE0FB7"/>
    <w:rsid w:val="00DE1B2E"/>
    <w:rsid w:val="00DE1ED6"/>
    <w:rsid w:val="00DE31FB"/>
    <w:rsid w:val="00DE3464"/>
    <w:rsid w:val="00DE38E3"/>
    <w:rsid w:val="00DE4504"/>
    <w:rsid w:val="00DE5BD6"/>
    <w:rsid w:val="00DE65AB"/>
    <w:rsid w:val="00DE6CED"/>
    <w:rsid w:val="00DE76AB"/>
    <w:rsid w:val="00DE7AA6"/>
    <w:rsid w:val="00DF0AF3"/>
    <w:rsid w:val="00DF0CBB"/>
    <w:rsid w:val="00DF18F3"/>
    <w:rsid w:val="00DF1A3A"/>
    <w:rsid w:val="00DF28A2"/>
    <w:rsid w:val="00DF2C05"/>
    <w:rsid w:val="00DF2C36"/>
    <w:rsid w:val="00DF2C49"/>
    <w:rsid w:val="00DF2CDD"/>
    <w:rsid w:val="00DF387C"/>
    <w:rsid w:val="00DF3A93"/>
    <w:rsid w:val="00DF54F9"/>
    <w:rsid w:val="00DF59B8"/>
    <w:rsid w:val="00DF604D"/>
    <w:rsid w:val="00DF61D6"/>
    <w:rsid w:val="00DF6C12"/>
    <w:rsid w:val="00DF6DF0"/>
    <w:rsid w:val="00DF750D"/>
    <w:rsid w:val="00DF787B"/>
    <w:rsid w:val="00DF7998"/>
    <w:rsid w:val="00E006B4"/>
    <w:rsid w:val="00E0111C"/>
    <w:rsid w:val="00E0193E"/>
    <w:rsid w:val="00E02574"/>
    <w:rsid w:val="00E02942"/>
    <w:rsid w:val="00E030B3"/>
    <w:rsid w:val="00E030FE"/>
    <w:rsid w:val="00E04018"/>
    <w:rsid w:val="00E04D98"/>
    <w:rsid w:val="00E0513E"/>
    <w:rsid w:val="00E057D0"/>
    <w:rsid w:val="00E063F0"/>
    <w:rsid w:val="00E065D8"/>
    <w:rsid w:val="00E06F3B"/>
    <w:rsid w:val="00E07A46"/>
    <w:rsid w:val="00E10DA9"/>
    <w:rsid w:val="00E11458"/>
    <w:rsid w:val="00E11483"/>
    <w:rsid w:val="00E11561"/>
    <w:rsid w:val="00E115D5"/>
    <w:rsid w:val="00E11EBB"/>
    <w:rsid w:val="00E12425"/>
    <w:rsid w:val="00E12A1A"/>
    <w:rsid w:val="00E12F01"/>
    <w:rsid w:val="00E1393D"/>
    <w:rsid w:val="00E1403C"/>
    <w:rsid w:val="00E145AC"/>
    <w:rsid w:val="00E1503E"/>
    <w:rsid w:val="00E151D0"/>
    <w:rsid w:val="00E15A75"/>
    <w:rsid w:val="00E165FC"/>
    <w:rsid w:val="00E1744E"/>
    <w:rsid w:val="00E1779A"/>
    <w:rsid w:val="00E179E3"/>
    <w:rsid w:val="00E20A7B"/>
    <w:rsid w:val="00E20ADF"/>
    <w:rsid w:val="00E20CDF"/>
    <w:rsid w:val="00E21090"/>
    <w:rsid w:val="00E22C91"/>
    <w:rsid w:val="00E23E38"/>
    <w:rsid w:val="00E24B0E"/>
    <w:rsid w:val="00E25697"/>
    <w:rsid w:val="00E26127"/>
    <w:rsid w:val="00E269DD"/>
    <w:rsid w:val="00E26F04"/>
    <w:rsid w:val="00E302D6"/>
    <w:rsid w:val="00E30506"/>
    <w:rsid w:val="00E305D5"/>
    <w:rsid w:val="00E306FF"/>
    <w:rsid w:val="00E30740"/>
    <w:rsid w:val="00E307AF"/>
    <w:rsid w:val="00E31294"/>
    <w:rsid w:val="00E316E4"/>
    <w:rsid w:val="00E317C2"/>
    <w:rsid w:val="00E32178"/>
    <w:rsid w:val="00E32C2B"/>
    <w:rsid w:val="00E338DB"/>
    <w:rsid w:val="00E339E5"/>
    <w:rsid w:val="00E354A8"/>
    <w:rsid w:val="00E3569F"/>
    <w:rsid w:val="00E362F4"/>
    <w:rsid w:val="00E364B0"/>
    <w:rsid w:val="00E37120"/>
    <w:rsid w:val="00E371BA"/>
    <w:rsid w:val="00E372C6"/>
    <w:rsid w:val="00E4014C"/>
    <w:rsid w:val="00E4059C"/>
    <w:rsid w:val="00E40D77"/>
    <w:rsid w:val="00E41CE8"/>
    <w:rsid w:val="00E41CEB"/>
    <w:rsid w:val="00E41D2E"/>
    <w:rsid w:val="00E41FB1"/>
    <w:rsid w:val="00E4266E"/>
    <w:rsid w:val="00E426DC"/>
    <w:rsid w:val="00E42717"/>
    <w:rsid w:val="00E42B48"/>
    <w:rsid w:val="00E42E9E"/>
    <w:rsid w:val="00E431EA"/>
    <w:rsid w:val="00E433B1"/>
    <w:rsid w:val="00E4368B"/>
    <w:rsid w:val="00E446C1"/>
    <w:rsid w:val="00E449F6"/>
    <w:rsid w:val="00E44CCF"/>
    <w:rsid w:val="00E453CE"/>
    <w:rsid w:val="00E466E2"/>
    <w:rsid w:val="00E467BB"/>
    <w:rsid w:val="00E46E28"/>
    <w:rsid w:val="00E46EDD"/>
    <w:rsid w:val="00E47074"/>
    <w:rsid w:val="00E4766A"/>
    <w:rsid w:val="00E4794A"/>
    <w:rsid w:val="00E47BF8"/>
    <w:rsid w:val="00E50E33"/>
    <w:rsid w:val="00E50EAA"/>
    <w:rsid w:val="00E5172F"/>
    <w:rsid w:val="00E53007"/>
    <w:rsid w:val="00E5417D"/>
    <w:rsid w:val="00E54A35"/>
    <w:rsid w:val="00E54AB5"/>
    <w:rsid w:val="00E54BA0"/>
    <w:rsid w:val="00E5516C"/>
    <w:rsid w:val="00E55310"/>
    <w:rsid w:val="00E563DD"/>
    <w:rsid w:val="00E565BD"/>
    <w:rsid w:val="00E567AB"/>
    <w:rsid w:val="00E5769B"/>
    <w:rsid w:val="00E57F43"/>
    <w:rsid w:val="00E60C9B"/>
    <w:rsid w:val="00E612A7"/>
    <w:rsid w:val="00E62124"/>
    <w:rsid w:val="00E62898"/>
    <w:rsid w:val="00E629F6"/>
    <w:rsid w:val="00E636F8"/>
    <w:rsid w:val="00E63AF1"/>
    <w:rsid w:val="00E63C22"/>
    <w:rsid w:val="00E64030"/>
    <w:rsid w:val="00E64EB4"/>
    <w:rsid w:val="00E650E6"/>
    <w:rsid w:val="00E65BE2"/>
    <w:rsid w:val="00E66447"/>
    <w:rsid w:val="00E673F1"/>
    <w:rsid w:val="00E70829"/>
    <w:rsid w:val="00E70B22"/>
    <w:rsid w:val="00E70E83"/>
    <w:rsid w:val="00E71119"/>
    <w:rsid w:val="00E71313"/>
    <w:rsid w:val="00E7137B"/>
    <w:rsid w:val="00E7173E"/>
    <w:rsid w:val="00E71D63"/>
    <w:rsid w:val="00E7205A"/>
    <w:rsid w:val="00E72522"/>
    <w:rsid w:val="00E72DC9"/>
    <w:rsid w:val="00E73109"/>
    <w:rsid w:val="00E7330A"/>
    <w:rsid w:val="00E73CB0"/>
    <w:rsid w:val="00E7400B"/>
    <w:rsid w:val="00E74180"/>
    <w:rsid w:val="00E74479"/>
    <w:rsid w:val="00E750A9"/>
    <w:rsid w:val="00E754A1"/>
    <w:rsid w:val="00E756A4"/>
    <w:rsid w:val="00E756A5"/>
    <w:rsid w:val="00E76FCD"/>
    <w:rsid w:val="00E77121"/>
    <w:rsid w:val="00E77453"/>
    <w:rsid w:val="00E80116"/>
    <w:rsid w:val="00E804FB"/>
    <w:rsid w:val="00E80D21"/>
    <w:rsid w:val="00E8155F"/>
    <w:rsid w:val="00E82209"/>
    <w:rsid w:val="00E8251B"/>
    <w:rsid w:val="00E82CEF"/>
    <w:rsid w:val="00E839F4"/>
    <w:rsid w:val="00E83CCC"/>
    <w:rsid w:val="00E8428C"/>
    <w:rsid w:val="00E84296"/>
    <w:rsid w:val="00E844DD"/>
    <w:rsid w:val="00E84AE5"/>
    <w:rsid w:val="00E84C03"/>
    <w:rsid w:val="00E84EAA"/>
    <w:rsid w:val="00E85298"/>
    <w:rsid w:val="00E857D2"/>
    <w:rsid w:val="00E85F36"/>
    <w:rsid w:val="00E86390"/>
    <w:rsid w:val="00E86D5E"/>
    <w:rsid w:val="00E87314"/>
    <w:rsid w:val="00E8736D"/>
    <w:rsid w:val="00E90359"/>
    <w:rsid w:val="00E906E8"/>
    <w:rsid w:val="00E907AD"/>
    <w:rsid w:val="00E911BD"/>
    <w:rsid w:val="00E920C6"/>
    <w:rsid w:val="00E92A94"/>
    <w:rsid w:val="00E9320F"/>
    <w:rsid w:val="00E93261"/>
    <w:rsid w:val="00E93405"/>
    <w:rsid w:val="00E947F6"/>
    <w:rsid w:val="00E94DF6"/>
    <w:rsid w:val="00EA0132"/>
    <w:rsid w:val="00EA030B"/>
    <w:rsid w:val="00EA15D2"/>
    <w:rsid w:val="00EA2582"/>
    <w:rsid w:val="00EA26F3"/>
    <w:rsid w:val="00EA2E73"/>
    <w:rsid w:val="00EA2FC1"/>
    <w:rsid w:val="00EA348F"/>
    <w:rsid w:val="00EA3490"/>
    <w:rsid w:val="00EA3EED"/>
    <w:rsid w:val="00EA3FED"/>
    <w:rsid w:val="00EA403E"/>
    <w:rsid w:val="00EA442C"/>
    <w:rsid w:val="00EA45A1"/>
    <w:rsid w:val="00EA4AEC"/>
    <w:rsid w:val="00EA55FD"/>
    <w:rsid w:val="00EA57B0"/>
    <w:rsid w:val="00EA5C60"/>
    <w:rsid w:val="00EA64A4"/>
    <w:rsid w:val="00EA669D"/>
    <w:rsid w:val="00EA71BE"/>
    <w:rsid w:val="00EA72E6"/>
    <w:rsid w:val="00EA7881"/>
    <w:rsid w:val="00EA7CD4"/>
    <w:rsid w:val="00EA7DF1"/>
    <w:rsid w:val="00EB0083"/>
    <w:rsid w:val="00EB1F7B"/>
    <w:rsid w:val="00EB2908"/>
    <w:rsid w:val="00EB4F62"/>
    <w:rsid w:val="00EB5FEA"/>
    <w:rsid w:val="00EB65C6"/>
    <w:rsid w:val="00EB7AC8"/>
    <w:rsid w:val="00EB7BE3"/>
    <w:rsid w:val="00EC00D1"/>
    <w:rsid w:val="00EC1145"/>
    <w:rsid w:val="00EC1892"/>
    <w:rsid w:val="00EC1F1C"/>
    <w:rsid w:val="00EC237E"/>
    <w:rsid w:val="00EC28B2"/>
    <w:rsid w:val="00EC2B47"/>
    <w:rsid w:val="00EC2BAA"/>
    <w:rsid w:val="00EC2CB4"/>
    <w:rsid w:val="00EC3A8D"/>
    <w:rsid w:val="00EC4004"/>
    <w:rsid w:val="00EC4067"/>
    <w:rsid w:val="00EC413C"/>
    <w:rsid w:val="00EC497C"/>
    <w:rsid w:val="00EC4C62"/>
    <w:rsid w:val="00EC5AD2"/>
    <w:rsid w:val="00EC5F00"/>
    <w:rsid w:val="00EC5F35"/>
    <w:rsid w:val="00EC67A7"/>
    <w:rsid w:val="00EC6984"/>
    <w:rsid w:val="00EC6BA1"/>
    <w:rsid w:val="00EC6C33"/>
    <w:rsid w:val="00EC7FD6"/>
    <w:rsid w:val="00ED0371"/>
    <w:rsid w:val="00ED0621"/>
    <w:rsid w:val="00ED0770"/>
    <w:rsid w:val="00ED10A5"/>
    <w:rsid w:val="00ED14B4"/>
    <w:rsid w:val="00ED164F"/>
    <w:rsid w:val="00ED1D45"/>
    <w:rsid w:val="00ED22C9"/>
    <w:rsid w:val="00ED48CB"/>
    <w:rsid w:val="00ED49EF"/>
    <w:rsid w:val="00ED4BC1"/>
    <w:rsid w:val="00ED5B91"/>
    <w:rsid w:val="00ED5FFC"/>
    <w:rsid w:val="00ED6634"/>
    <w:rsid w:val="00ED6920"/>
    <w:rsid w:val="00ED6E18"/>
    <w:rsid w:val="00ED7BF2"/>
    <w:rsid w:val="00ED7E7E"/>
    <w:rsid w:val="00EE013D"/>
    <w:rsid w:val="00EE0337"/>
    <w:rsid w:val="00EE03C0"/>
    <w:rsid w:val="00EE060F"/>
    <w:rsid w:val="00EE0928"/>
    <w:rsid w:val="00EE0AD5"/>
    <w:rsid w:val="00EE0DDD"/>
    <w:rsid w:val="00EE1033"/>
    <w:rsid w:val="00EE252B"/>
    <w:rsid w:val="00EE399F"/>
    <w:rsid w:val="00EE4313"/>
    <w:rsid w:val="00EE4779"/>
    <w:rsid w:val="00EE4B85"/>
    <w:rsid w:val="00EE4E5D"/>
    <w:rsid w:val="00EE50C5"/>
    <w:rsid w:val="00EE5C65"/>
    <w:rsid w:val="00EE6491"/>
    <w:rsid w:val="00EE79B0"/>
    <w:rsid w:val="00EE7E4C"/>
    <w:rsid w:val="00EE7E59"/>
    <w:rsid w:val="00EF281A"/>
    <w:rsid w:val="00EF2A93"/>
    <w:rsid w:val="00EF2DAB"/>
    <w:rsid w:val="00EF3544"/>
    <w:rsid w:val="00EF3B73"/>
    <w:rsid w:val="00EF3C8E"/>
    <w:rsid w:val="00EF4C18"/>
    <w:rsid w:val="00EF4D1E"/>
    <w:rsid w:val="00EF630B"/>
    <w:rsid w:val="00EF6D1C"/>
    <w:rsid w:val="00EF7B85"/>
    <w:rsid w:val="00EF7C91"/>
    <w:rsid w:val="00EF7E67"/>
    <w:rsid w:val="00F002C6"/>
    <w:rsid w:val="00F00A6A"/>
    <w:rsid w:val="00F01582"/>
    <w:rsid w:val="00F015FE"/>
    <w:rsid w:val="00F01605"/>
    <w:rsid w:val="00F01F30"/>
    <w:rsid w:val="00F02E61"/>
    <w:rsid w:val="00F030A9"/>
    <w:rsid w:val="00F03745"/>
    <w:rsid w:val="00F03F66"/>
    <w:rsid w:val="00F042FE"/>
    <w:rsid w:val="00F04365"/>
    <w:rsid w:val="00F04DD3"/>
    <w:rsid w:val="00F050C6"/>
    <w:rsid w:val="00F06433"/>
    <w:rsid w:val="00F06A92"/>
    <w:rsid w:val="00F07E3A"/>
    <w:rsid w:val="00F07FED"/>
    <w:rsid w:val="00F1208B"/>
    <w:rsid w:val="00F1286F"/>
    <w:rsid w:val="00F1287A"/>
    <w:rsid w:val="00F13042"/>
    <w:rsid w:val="00F13569"/>
    <w:rsid w:val="00F14E09"/>
    <w:rsid w:val="00F14EDF"/>
    <w:rsid w:val="00F15030"/>
    <w:rsid w:val="00F15A9D"/>
    <w:rsid w:val="00F15C79"/>
    <w:rsid w:val="00F1629E"/>
    <w:rsid w:val="00F165C2"/>
    <w:rsid w:val="00F167FB"/>
    <w:rsid w:val="00F179CE"/>
    <w:rsid w:val="00F17A49"/>
    <w:rsid w:val="00F17EBB"/>
    <w:rsid w:val="00F17F3A"/>
    <w:rsid w:val="00F204F8"/>
    <w:rsid w:val="00F206F4"/>
    <w:rsid w:val="00F20C18"/>
    <w:rsid w:val="00F21CC4"/>
    <w:rsid w:val="00F222C6"/>
    <w:rsid w:val="00F227ED"/>
    <w:rsid w:val="00F22D69"/>
    <w:rsid w:val="00F230BB"/>
    <w:rsid w:val="00F24194"/>
    <w:rsid w:val="00F24273"/>
    <w:rsid w:val="00F24750"/>
    <w:rsid w:val="00F24C4A"/>
    <w:rsid w:val="00F25258"/>
    <w:rsid w:val="00F255E9"/>
    <w:rsid w:val="00F2578A"/>
    <w:rsid w:val="00F264C4"/>
    <w:rsid w:val="00F26C87"/>
    <w:rsid w:val="00F30BA3"/>
    <w:rsid w:val="00F31161"/>
    <w:rsid w:val="00F312CA"/>
    <w:rsid w:val="00F31DAA"/>
    <w:rsid w:val="00F320EF"/>
    <w:rsid w:val="00F323B1"/>
    <w:rsid w:val="00F32A77"/>
    <w:rsid w:val="00F33432"/>
    <w:rsid w:val="00F3360F"/>
    <w:rsid w:val="00F33749"/>
    <w:rsid w:val="00F34638"/>
    <w:rsid w:val="00F35AFE"/>
    <w:rsid w:val="00F3645C"/>
    <w:rsid w:val="00F36824"/>
    <w:rsid w:val="00F36977"/>
    <w:rsid w:val="00F3739F"/>
    <w:rsid w:val="00F3752D"/>
    <w:rsid w:val="00F376BA"/>
    <w:rsid w:val="00F42EC8"/>
    <w:rsid w:val="00F4306B"/>
    <w:rsid w:val="00F44505"/>
    <w:rsid w:val="00F44F4E"/>
    <w:rsid w:val="00F44FC0"/>
    <w:rsid w:val="00F457DA"/>
    <w:rsid w:val="00F45929"/>
    <w:rsid w:val="00F46C38"/>
    <w:rsid w:val="00F46FE0"/>
    <w:rsid w:val="00F47790"/>
    <w:rsid w:val="00F47964"/>
    <w:rsid w:val="00F503CB"/>
    <w:rsid w:val="00F50518"/>
    <w:rsid w:val="00F506D8"/>
    <w:rsid w:val="00F506DE"/>
    <w:rsid w:val="00F50F02"/>
    <w:rsid w:val="00F50F75"/>
    <w:rsid w:val="00F51E44"/>
    <w:rsid w:val="00F527AB"/>
    <w:rsid w:val="00F52FDF"/>
    <w:rsid w:val="00F54DD8"/>
    <w:rsid w:val="00F54E87"/>
    <w:rsid w:val="00F56229"/>
    <w:rsid w:val="00F56B86"/>
    <w:rsid w:val="00F56CBA"/>
    <w:rsid w:val="00F57307"/>
    <w:rsid w:val="00F57BC2"/>
    <w:rsid w:val="00F60053"/>
    <w:rsid w:val="00F600E5"/>
    <w:rsid w:val="00F60801"/>
    <w:rsid w:val="00F61765"/>
    <w:rsid w:val="00F61894"/>
    <w:rsid w:val="00F619E1"/>
    <w:rsid w:val="00F62224"/>
    <w:rsid w:val="00F62B7A"/>
    <w:rsid w:val="00F62BA6"/>
    <w:rsid w:val="00F62C55"/>
    <w:rsid w:val="00F630A5"/>
    <w:rsid w:val="00F64664"/>
    <w:rsid w:val="00F64A35"/>
    <w:rsid w:val="00F64FCF"/>
    <w:rsid w:val="00F65B5E"/>
    <w:rsid w:val="00F65BA1"/>
    <w:rsid w:val="00F6694E"/>
    <w:rsid w:val="00F67238"/>
    <w:rsid w:val="00F67360"/>
    <w:rsid w:val="00F6786D"/>
    <w:rsid w:val="00F701ED"/>
    <w:rsid w:val="00F70855"/>
    <w:rsid w:val="00F713F6"/>
    <w:rsid w:val="00F71972"/>
    <w:rsid w:val="00F72863"/>
    <w:rsid w:val="00F72F12"/>
    <w:rsid w:val="00F7376B"/>
    <w:rsid w:val="00F739E7"/>
    <w:rsid w:val="00F73D12"/>
    <w:rsid w:val="00F74562"/>
    <w:rsid w:val="00F7481C"/>
    <w:rsid w:val="00F74C84"/>
    <w:rsid w:val="00F750E1"/>
    <w:rsid w:val="00F75B89"/>
    <w:rsid w:val="00F75F04"/>
    <w:rsid w:val="00F7675A"/>
    <w:rsid w:val="00F776BE"/>
    <w:rsid w:val="00F801F7"/>
    <w:rsid w:val="00F8063C"/>
    <w:rsid w:val="00F80A63"/>
    <w:rsid w:val="00F80B25"/>
    <w:rsid w:val="00F80BFA"/>
    <w:rsid w:val="00F80C71"/>
    <w:rsid w:val="00F80D77"/>
    <w:rsid w:val="00F8132A"/>
    <w:rsid w:val="00F81443"/>
    <w:rsid w:val="00F81D4C"/>
    <w:rsid w:val="00F81FCF"/>
    <w:rsid w:val="00F81FDD"/>
    <w:rsid w:val="00F836DF"/>
    <w:rsid w:val="00F83867"/>
    <w:rsid w:val="00F83F90"/>
    <w:rsid w:val="00F84937"/>
    <w:rsid w:val="00F84BE3"/>
    <w:rsid w:val="00F855D0"/>
    <w:rsid w:val="00F85634"/>
    <w:rsid w:val="00F8616F"/>
    <w:rsid w:val="00F87368"/>
    <w:rsid w:val="00F873D0"/>
    <w:rsid w:val="00F87C84"/>
    <w:rsid w:val="00F9055C"/>
    <w:rsid w:val="00F907F0"/>
    <w:rsid w:val="00F90C75"/>
    <w:rsid w:val="00F90E4A"/>
    <w:rsid w:val="00F91609"/>
    <w:rsid w:val="00F919B8"/>
    <w:rsid w:val="00F92182"/>
    <w:rsid w:val="00F92579"/>
    <w:rsid w:val="00F92BD4"/>
    <w:rsid w:val="00F930A2"/>
    <w:rsid w:val="00F9328E"/>
    <w:rsid w:val="00F93789"/>
    <w:rsid w:val="00F938FF"/>
    <w:rsid w:val="00F93A93"/>
    <w:rsid w:val="00F93BDD"/>
    <w:rsid w:val="00F94B59"/>
    <w:rsid w:val="00F94E3B"/>
    <w:rsid w:val="00F957B2"/>
    <w:rsid w:val="00F958C7"/>
    <w:rsid w:val="00F95AD2"/>
    <w:rsid w:val="00F96087"/>
    <w:rsid w:val="00F9654C"/>
    <w:rsid w:val="00F96847"/>
    <w:rsid w:val="00FA0C74"/>
    <w:rsid w:val="00FA1503"/>
    <w:rsid w:val="00FA152D"/>
    <w:rsid w:val="00FA15CC"/>
    <w:rsid w:val="00FA15E5"/>
    <w:rsid w:val="00FA1C18"/>
    <w:rsid w:val="00FA2000"/>
    <w:rsid w:val="00FA261C"/>
    <w:rsid w:val="00FA2892"/>
    <w:rsid w:val="00FA28B8"/>
    <w:rsid w:val="00FA2EF3"/>
    <w:rsid w:val="00FA3427"/>
    <w:rsid w:val="00FA3953"/>
    <w:rsid w:val="00FA3DA4"/>
    <w:rsid w:val="00FA3EDB"/>
    <w:rsid w:val="00FA3FC4"/>
    <w:rsid w:val="00FA4A38"/>
    <w:rsid w:val="00FA5123"/>
    <w:rsid w:val="00FA6F1D"/>
    <w:rsid w:val="00FA7010"/>
    <w:rsid w:val="00FA7346"/>
    <w:rsid w:val="00FA73C8"/>
    <w:rsid w:val="00FB0027"/>
    <w:rsid w:val="00FB046F"/>
    <w:rsid w:val="00FB0644"/>
    <w:rsid w:val="00FB10B6"/>
    <w:rsid w:val="00FB15D1"/>
    <w:rsid w:val="00FB177E"/>
    <w:rsid w:val="00FB1D62"/>
    <w:rsid w:val="00FB1F9E"/>
    <w:rsid w:val="00FB2583"/>
    <w:rsid w:val="00FB2D4F"/>
    <w:rsid w:val="00FB30C8"/>
    <w:rsid w:val="00FB314C"/>
    <w:rsid w:val="00FB3CC6"/>
    <w:rsid w:val="00FB452C"/>
    <w:rsid w:val="00FB4B87"/>
    <w:rsid w:val="00FB4DDD"/>
    <w:rsid w:val="00FB5279"/>
    <w:rsid w:val="00FB54DD"/>
    <w:rsid w:val="00FB6488"/>
    <w:rsid w:val="00FB6643"/>
    <w:rsid w:val="00FB698D"/>
    <w:rsid w:val="00FB7ADD"/>
    <w:rsid w:val="00FB7CF3"/>
    <w:rsid w:val="00FB7E20"/>
    <w:rsid w:val="00FC0C31"/>
    <w:rsid w:val="00FC0CD9"/>
    <w:rsid w:val="00FC30A9"/>
    <w:rsid w:val="00FC3637"/>
    <w:rsid w:val="00FC4D07"/>
    <w:rsid w:val="00FC53CF"/>
    <w:rsid w:val="00FC5671"/>
    <w:rsid w:val="00FC60EE"/>
    <w:rsid w:val="00FC60FC"/>
    <w:rsid w:val="00FC6502"/>
    <w:rsid w:val="00FC6C99"/>
    <w:rsid w:val="00FC70FC"/>
    <w:rsid w:val="00FC739C"/>
    <w:rsid w:val="00FC76C1"/>
    <w:rsid w:val="00FC78CA"/>
    <w:rsid w:val="00FC7A38"/>
    <w:rsid w:val="00FC7B55"/>
    <w:rsid w:val="00FD018C"/>
    <w:rsid w:val="00FD042B"/>
    <w:rsid w:val="00FD06F9"/>
    <w:rsid w:val="00FD1627"/>
    <w:rsid w:val="00FD2901"/>
    <w:rsid w:val="00FD2D95"/>
    <w:rsid w:val="00FD2DAF"/>
    <w:rsid w:val="00FD31DB"/>
    <w:rsid w:val="00FD355E"/>
    <w:rsid w:val="00FD3DCD"/>
    <w:rsid w:val="00FD5418"/>
    <w:rsid w:val="00FD5F4B"/>
    <w:rsid w:val="00FD612C"/>
    <w:rsid w:val="00FD6295"/>
    <w:rsid w:val="00FD62DA"/>
    <w:rsid w:val="00FD6B01"/>
    <w:rsid w:val="00FE04E7"/>
    <w:rsid w:val="00FE152B"/>
    <w:rsid w:val="00FE16DE"/>
    <w:rsid w:val="00FE177A"/>
    <w:rsid w:val="00FE196D"/>
    <w:rsid w:val="00FE23A4"/>
    <w:rsid w:val="00FE2543"/>
    <w:rsid w:val="00FE25C3"/>
    <w:rsid w:val="00FE2706"/>
    <w:rsid w:val="00FE2B83"/>
    <w:rsid w:val="00FE2BA1"/>
    <w:rsid w:val="00FE2DEB"/>
    <w:rsid w:val="00FE2FB0"/>
    <w:rsid w:val="00FE354C"/>
    <w:rsid w:val="00FE3D63"/>
    <w:rsid w:val="00FE44B0"/>
    <w:rsid w:val="00FE46E4"/>
    <w:rsid w:val="00FE4706"/>
    <w:rsid w:val="00FE49D9"/>
    <w:rsid w:val="00FE4C46"/>
    <w:rsid w:val="00FE5509"/>
    <w:rsid w:val="00FE55CF"/>
    <w:rsid w:val="00FE6784"/>
    <w:rsid w:val="00FE6CAC"/>
    <w:rsid w:val="00FE7BB7"/>
    <w:rsid w:val="00FE7C3D"/>
    <w:rsid w:val="00FF131F"/>
    <w:rsid w:val="00FF1686"/>
    <w:rsid w:val="00FF18BB"/>
    <w:rsid w:val="00FF1B4D"/>
    <w:rsid w:val="00FF1B6D"/>
    <w:rsid w:val="00FF2474"/>
    <w:rsid w:val="00FF249D"/>
    <w:rsid w:val="00FF2E24"/>
    <w:rsid w:val="00FF3D17"/>
    <w:rsid w:val="00FF3E32"/>
    <w:rsid w:val="00FF4953"/>
    <w:rsid w:val="00FF4E09"/>
    <w:rsid w:val="00FF4E74"/>
    <w:rsid w:val="00FF5417"/>
    <w:rsid w:val="00FF5EA5"/>
    <w:rsid w:val="00FF610B"/>
    <w:rsid w:val="00FF6203"/>
    <w:rsid w:val="00FF6368"/>
    <w:rsid w:val="00FF652A"/>
    <w:rsid w:val="00FF6AAD"/>
    <w:rsid w:val="00FF72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C390D"/>
  <w15:docId w15:val="{E29A8D40-E5F7-49CD-B60A-417AA1E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79"/>
    <w:pPr>
      <w:spacing w:before="100" w:beforeAutospacing="1" w:after="100" w:afterAutospacing="1" w:line="360" w:lineRule="auto"/>
      <w:ind w:firstLine="851"/>
      <w:jc w:val="both"/>
    </w:pPr>
    <w:rPr>
      <w:rFonts w:ascii="Times New Roman" w:eastAsia="Times New Roman" w:hAnsi="Times New Roman" w:cs="Times New Roman"/>
      <w:sz w:val="24"/>
      <w:lang w:eastAsia="pt-BR"/>
    </w:rPr>
  </w:style>
  <w:style w:type="paragraph" w:styleId="Ttulo1">
    <w:name w:val="heading 1"/>
    <w:basedOn w:val="Normal"/>
    <w:next w:val="Normal"/>
    <w:link w:val="Ttulo1Car"/>
    <w:uiPriority w:val="99"/>
    <w:qFormat/>
    <w:rsid w:val="00DC16DC"/>
    <w:pPr>
      <w:keepNext/>
      <w:pageBreakBefore/>
      <w:numPr>
        <w:numId w:val="1"/>
      </w:numPr>
      <w:spacing w:after="240" w:afterAutospacing="0"/>
      <w:outlineLvl w:val="0"/>
    </w:pPr>
    <w:rPr>
      <w:b/>
      <w:bCs/>
      <w:caps/>
      <w:kern w:val="32"/>
      <w:sz w:val="32"/>
      <w:szCs w:val="32"/>
    </w:rPr>
  </w:style>
  <w:style w:type="paragraph" w:styleId="Ttulo2">
    <w:name w:val="heading 2"/>
    <w:basedOn w:val="Normal"/>
    <w:next w:val="Normal"/>
    <w:link w:val="Ttulo2Car"/>
    <w:uiPriority w:val="99"/>
    <w:qFormat/>
    <w:rsid w:val="00DC16DC"/>
    <w:pPr>
      <w:keepNext/>
      <w:numPr>
        <w:ilvl w:val="1"/>
        <w:numId w:val="1"/>
      </w:numPr>
      <w:spacing w:after="240" w:afterAutospacing="0"/>
      <w:outlineLvl w:val="1"/>
    </w:pPr>
    <w:rPr>
      <w:b/>
      <w:bCs/>
      <w:iCs/>
      <w:sz w:val="28"/>
      <w:szCs w:val="28"/>
    </w:rPr>
  </w:style>
  <w:style w:type="paragraph" w:styleId="Ttulo3">
    <w:name w:val="heading 3"/>
    <w:basedOn w:val="Normal"/>
    <w:next w:val="Normal"/>
    <w:link w:val="Ttulo3Car"/>
    <w:uiPriority w:val="99"/>
    <w:unhideWhenUsed/>
    <w:qFormat/>
    <w:rsid w:val="00DC16DC"/>
    <w:pPr>
      <w:keepNext/>
      <w:keepLines/>
      <w:numPr>
        <w:ilvl w:val="2"/>
        <w:numId w:val="1"/>
      </w:numPr>
      <w:spacing w:after="240" w:afterAutospacing="0"/>
      <w:outlineLvl w:val="2"/>
    </w:pPr>
    <w:rPr>
      <w:rFonts w:eastAsiaTheme="majorEastAsia" w:cstheme="majorBidi"/>
      <w:b/>
      <w:color w:val="000000" w:themeColor="text1"/>
      <w:szCs w:val="24"/>
    </w:rPr>
  </w:style>
  <w:style w:type="paragraph" w:styleId="Ttulo4">
    <w:name w:val="heading 4"/>
    <w:basedOn w:val="Normal"/>
    <w:next w:val="Normal"/>
    <w:link w:val="Ttulo4Car"/>
    <w:uiPriority w:val="99"/>
    <w:unhideWhenUsed/>
    <w:qFormat/>
    <w:rsid w:val="00DC16DC"/>
    <w:pPr>
      <w:keepNext/>
      <w:keepLines/>
      <w:numPr>
        <w:ilvl w:val="3"/>
        <w:numId w:val="1"/>
      </w:numPr>
      <w:spacing w:after="240" w:afterAutospacing="0"/>
      <w:outlineLvl w:val="3"/>
    </w:pPr>
    <w:rPr>
      <w:rFonts w:eastAsiaTheme="majorEastAsia" w:cstheme="majorBidi"/>
      <w:b/>
      <w:iCs/>
      <w:color w:val="000000" w:themeColor="text1"/>
    </w:rPr>
  </w:style>
  <w:style w:type="paragraph" w:styleId="Ttulo5">
    <w:name w:val="heading 5"/>
    <w:basedOn w:val="Normal"/>
    <w:next w:val="Normal"/>
    <w:link w:val="Ttulo5Car"/>
    <w:uiPriority w:val="99"/>
    <w:unhideWhenUsed/>
    <w:qFormat/>
    <w:rsid w:val="00DC16DC"/>
    <w:pPr>
      <w:keepNext/>
      <w:keepLines/>
      <w:numPr>
        <w:ilvl w:val="4"/>
        <w:numId w:val="1"/>
      </w:numPr>
      <w:spacing w:after="240" w:afterAutospacing="0"/>
      <w:outlineLvl w:val="4"/>
    </w:pPr>
    <w:rPr>
      <w:rFonts w:eastAsiaTheme="majorEastAsia" w:cstheme="majorBidi"/>
      <w:b/>
      <w:color w:val="000000" w:themeColor="text1"/>
    </w:rPr>
  </w:style>
  <w:style w:type="paragraph" w:styleId="Ttulo6">
    <w:name w:val="heading 6"/>
    <w:basedOn w:val="Normal"/>
    <w:next w:val="Normal"/>
    <w:link w:val="Ttulo6Car"/>
    <w:uiPriority w:val="99"/>
    <w:unhideWhenUsed/>
    <w:qFormat/>
    <w:rsid w:val="007B6E2F"/>
    <w:pPr>
      <w:keepNext/>
      <w:keepLines/>
      <w:numPr>
        <w:ilvl w:val="5"/>
        <w:numId w:val="1"/>
      </w:numPr>
      <w:spacing w:after="240" w:afterAutospacing="0"/>
      <w:outlineLvl w:val="5"/>
    </w:pPr>
    <w:rPr>
      <w:rFonts w:eastAsiaTheme="majorEastAsia" w:cstheme="majorBidi"/>
      <w:b/>
      <w:color w:val="000000" w:themeColor="text1"/>
    </w:rPr>
  </w:style>
  <w:style w:type="paragraph" w:styleId="Ttulo7">
    <w:name w:val="heading 7"/>
    <w:basedOn w:val="Normal"/>
    <w:next w:val="Normal"/>
    <w:link w:val="Ttulo7Car"/>
    <w:uiPriority w:val="99"/>
    <w:unhideWhenUsed/>
    <w:qFormat/>
    <w:rsid w:val="007B6E2F"/>
    <w:pPr>
      <w:keepNext/>
      <w:keepLines/>
      <w:numPr>
        <w:ilvl w:val="6"/>
        <w:numId w:val="1"/>
      </w:numPr>
      <w:spacing w:after="240" w:afterAutospacing="0"/>
      <w:outlineLvl w:val="6"/>
    </w:pPr>
    <w:rPr>
      <w:rFonts w:asciiTheme="majorHAnsi" w:eastAsiaTheme="majorEastAsia" w:hAnsiTheme="majorHAnsi" w:cstheme="majorBidi"/>
      <w:b/>
      <w:iCs/>
      <w:color w:val="000000" w:themeColor="text1"/>
    </w:rPr>
  </w:style>
  <w:style w:type="paragraph" w:styleId="Ttulo8">
    <w:name w:val="heading 8"/>
    <w:basedOn w:val="Normal"/>
    <w:next w:val="Normal"/>
    <w:link w:val="Ttulo8Car"/>
    <w:uiPriority w:val="99"/>
    <w:unhideWhenUsed/>
    <w:qFormat/>
    <w:rsid w:val="00E150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9"/>
    <w:unhideWhenUsed/>
    <w:qFormat/>
    <w:rsid w:val="00E150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C16DC"/>
    <w:rPr>
      <w:rFonts w:ascii="Times New Roman" w:eastAsia="Times New Roman" w:hAnsi="Times New Roman" w:cs="Times New Roman"/>
      <w:b/>
      <w:bCs/>
      <w:caps/>
      <w:kern w:val="32"/>
      <w:sz w:val="32"/>
      <w:szCs w:val="32"/>
      <w:lang w:eastAsia="pt-BR"/>
    </w:rPr>
  </w:style>
  <w:style w:type="character" w:customStyle="1" w:styleId="Ttulo2Car">
    <w:name w:val="Título 2 Car"/>
    <w:basedOn w:val="Fuentedeprrafopredeter"/>
    <w:link w:val="Ttulo2"/>
    <w:uiPriority w:val="99"/>
    <w:rsid w:val="00DC16DC"/>
    <w:rPr>
      <w:rFonts w:ascii="Times New Roman" w:eastAsia="Times New Roman" w:hAnsi="Times New Roman" w:cs="Times New Roman"/>
      <w:b/>
      <w:bCs/>
      <w:iCs/>
      <w:sz w:val="28"/>
      <w:szCs w:val="28"/>
      <w:lang w:eastAsia="pt-BR"/>
    </w:rPr>
  </w:style>
  <w:style w:type="character" w:customStyle="1" w:styleId="Ttulo3Car">
    <w:name w:val="Título 3 Car"/>
    <w:basedOn w:val="Fuentedeprrafopredeter"/>
    <w:link w:val="Ttulo3"/>
    <w:uiPriority w:val="99"/>
    <w:rsid w:val="00DC16DC"/>
    <w:rPr>
      <w:rFonts w:ascii="Times New Roman" w:eastAsiaTheme="majorEastAsia" w:hAnsi="Times New Roman" w:cstheme="majorBidi"/>
      <w:b/>
      <w:color w:val="000000" w:themeColor="text1"/>
      <w:sz w:val="24"/>
      <w:szCs w:val="24"/>
      <w:lang w:eastAsia="pt-BR"/>
    </w:rPr>
  </w:style>
  <w:style w:type="character" w:customStyle="1" w:styleId="Ttulo4Car">
    <w:name w:val="Título 4 Car"/>
    <w:basedOn w:val="Fuentedeprrafopredeter"/>
    <w:link w:val="Ttulo4"/>
    <w:uiPriority w:val="99"/>
    <w:rsid w:val="00DC16DC"/>
    <w:rPr>
      <w:rFonts w:ascii="Times New Roman" w:eastAsiaTheme="majorEastAsia" w:hAnsi="Times New Roman" w:cstheme="majorBidi"/>
      <w:b/>
      <w:iCs/>
      <w:color w:val="000000" w:themeColor="text1"/>
      <w:sz w:val="24"/>
      <w:lang w:eastAsia="pt-BR"/>
    </w:rPr>
  </w:style>
  <w:style w:type="character" w:customStyle="1" w:styleId="Ttulo5Car">
    <w:name w:val="Título 5 Car"/>
    <w:basedOn w:val="Fuentedeprrafopredeter"/>
    <w:link w:val="Ttulo5"/>
    <w:uiPriority w:val="99"/>
    <w:rsid w:val="00DC16DC"/>
    <w:rPr>
      <w:rFonts w:ascii="Times New Roman" w:eastAsiaTheme="majorEastAsia" w:hAnsi="Times New Roman" w:cstheme="majorBidi"/>
      <w:b/>
      <w:color w:val="000000" w:themeColor="text1"/>
      <w:sz w:val="24"/>
      <w:lang w:eastAsia="pt-BR"/>
    </w:rPr>
  </w:style>
  <w:style w:type="character" w:customStyle="1" w:styleId="Ttulo6Car">
    <w:name w:val="Título 6 Car"/>
    <w:basedOn w:val="Fuentedeprrafopredeter"/>
    <w:link w:val="Ttulo6"/>
    <w:uiPriority w:val="99"/>
    <w:rsid w:val="007B6E2F"/>
    <w:rPr>
      <w:rFonts w:ascii="Times New Roman" w:eastAsiaTheme="majorEastAsia" w:hAnsi="Times New Roman" w:cstheme="majorBidi"/>
      <w:b/>
      <w:color w:val="000000" w:themeColor="text1"/>
      <w:sz w:val="24"/>
      <w:lang w:eastAsia="pt-BR"/>
    </w:rPr>
  </w:style>
  <w:style w:type="character" w:customStyle="1" w:styleId="Ttulo7Car">
    <w:name w:val="Título 7 Car"/>
    <w:basedOn w:val="Fuentedeprrafopredeter"/>
    <w:link w:val="Ttulo7"/>
    <w:uiPriority w:val="99"/>
    <w:rsid w:val="007B6E2F"/>
    <w:rPr>
      <w:rFonts w:asciiTheme="majorHAnsi" w:eastAsiaTheme="majorEastAsia" w:hAnsiTheme="majorHAnsi" w:cstheme="majorBidi"/>
      <w:b/>
      <w:iCs/>
      <w:color w:val="000000" w:themeColor="text1"/>
      <w:sz w:val="24"/>
      <w:lang w:eastAsia="pt-BR"/>
    </w:rPr>
  </w:style>
  <w:style w:type="character" w:customStyle="1" w:styleId="Ttulo8Car">
    <w:name w:val="Título 8 Car"/>
    <w:basedOn w:val="Fuentedeprrafopredeter"/>
    <w:link w:val="Ttulo8"/>
    <w:uiPriority w:val="99"/>
    <w:rsid w:val="00E1503E"/>
    <w:rPr>
      <w:rFonts w:asciiTheme="majorHAnsi" w:eastAsiaTheme="majorEastAsia" w:hAnsiTheme="majorHAnsi" w:cstheme="majorBidi"/>
      <w:color w:val="272727" w:themeColor="text1" w:themeTint="D8"/>
      <w:sz w:val="21"/>
      <w:szCs w:val="21"/>
      <w:lang w:eastAsia="pt-BR"/>
    </w:rPr>
  </w:style>
  <w:style w:type="character" w:customStyle="1" w:styleId="Ttulo9Car">
    <w:name w:val="Título 9 Car"/>
    <w:basedOn w:val="Fuentedeprrafopredeter"/>
    <w:link w:val="Ttulo9"/>
    <w:uiPriority w:val="99"/>
    <w:rsid w:val="00E1503E"/>
    <w:rPr>
      <w:rFonts w:asciiTheme="majorHAnsi" w:eastAsiaTheme="majorEastAsia" w:hAnsiTheme="majorHAnsi" w:cstheme="majorBidi"/>
      <w:i/>
      <w:iCs/>
      <w:color w:val="272727" w:themeColor="text1" w:themeTint="D8"/>
      <w:sz w:val="21"/>
      <w:szCs w:val="21"/>
      <w:lang w:eastAsia="pt-BR"/>
    </w:rPr>
  </w:style>
  <w:style w:type="paragraph" w:styleId="Textonotapie">
    <w:name w:val="footnote text"/>
    <w:aliases w:val="Texto de nota de rodapé Char Char Char,Texto de nota de rodapé Char Char,Footnote Text Char Car,FN,fn,footnote text,Footnotes,Footnote ak,Footnotes Char,Footnote ak Char,ft,fn cafc,Footnotes Char Char,Footnote Text Char Char"/>
    <w:basedOn w:val="Normal"/>
    <w:link w:val="TextonotapieCar"/>
    <w:uiPriority w:val="99"/>
    <w:unhideWhenUsed/>
    <w:qFormat/>
    <w:rsid w:val="00D05440"/>
    <w:pPr>
      <w:spacing w:after="0" w:line="240" w:lineRule="auto"/>
    </w:pPr>
    <w:rPr>
      <w:sz w:val="20"/>
      <w:szCs w:val="20"/>
    </w:rPr>
  </w:style>
  <w:style w:type="character" w:customStyle="1" w:styleId="TextonotapieCar">
    <w:name w:val="Texto nota pie Car"/>
    <w:aliases w:val="Texto de nota de rodapé Char Char Char Car,Texto de nota de rodapé Char Char Car,Footnote Text Char Car Car,FN Car,fn Car,footnote text Car,Footnotes Car,Footnote ak Car,Footnotes Char Car,Footnote ak Char Car,ft Car,fn cafc Car"/>
    <w:basedOn w:val="Fuentedeprrafopredeter"/>
    <w:link w:val="Textonotapie"/>
    <w:uiPriority w:val="99"/>
    <w:rsid w:val="00D05440"/>
    <w:rPr>
      <w:sz w:val="20"/>
      <w:szCs w:val="20"/>
    </w:rPr>
  </w:style>
  <w:style w:type="character" w:styleId="Refdenotaalpie">
    <w:name w:val="footnote reference"/>
    <w:aliases w:val="fr,sobrescrito"/>
    <w:basedOn w:val="Fuentedeprrafopredeter"/>
    <w:uiPriority w:val="99"/>
    <w:unhideWhenUsed/>
    <w:rsid w:val="00D05440"/>
    <w:rPr>
      <w:vertAlign w:val="superscript"/>
    </w:rPr>
  </w:style>
  <w:style w:type="character" w:styleId="nfasis">
    <w:name w:val="Emphasis"/>
    <w:uiPriority w:val="20"/>
    <w:qFormat/>
    <w:rsid w:val="005536C8"/>
    <w:rPr>
      <w:b/>
      <w:bCs/>
      <w:i w:val="0"/>
      <w:iCs/>
      <w:spacing w:val="10"/>
      <w:bdr w:val="none" w:sz="0" w:space="0" w:color="auto"/>
      <w:shd w:val="clear" w:color="auto" w:fill="auto"/>
    </w:rPr>
  </w:style>
  <w:style w:type="paragraph" w:customStyle="1" w:styleId="NomeItalico">
    <w:name w:val="NomeItalico"/>
    <w:basedOn w:val="Normal"/>
    <w:link w:val="NomeItalicoChar"/>
    <w:rsid w:val="00425788"/>
    <w:rPr>
      <w:i/>
    </w:rPr>
  </w:style>
  <w:style w:type="character" w:customStyle="1" w:styleId="NomeItalicoChar">
    <w:name w:val="NomeItalico Char"/>
    <w:basedOn w:val="Fuentedeprrafopredeter"/>
    <w:link w:val="NomeItalico"/>
    <w:rsid w:val="00425788"/>
    <w:rPr>
      <w:rFonts w:ascii="Times New Roman" w:eastAsia="Times New Roman" w:hAnsi="Times New Roman" w:cs="Times New Roman"/>
      <w:i/>
      <w:sz w:val="24"/>
      <w:lang w:eastAsia="pt-BR"/>
    </w:rPr>
  </w:style>
  <w:style w:type="character" w:styleId="Hipervnculo">
    <w:name w:val="Hyperlink"/>
    <w:uiPriority w:val="99"/>
    <w:rsid w:val="00425788"/>
    <w:rPr>
      <w:rFonts w:cs="Times New Roman"/>
      <w:color w:val="0000FF"/>
      <w:u w:val="single"/>
    </w:rPr>
  </w:style>
  <w:style w:type="paragraph" w:styleId="TDC1">
    <w:name w:val="toc 1"/>
    <w:basedOn w:val="Normal"/>
    <w:next w:val="Normal"/>
    <w:autoRedefine/>
    <w:uiPriority w:val="39"/>
    <w:rsid w:val="006C13E3"/>
    <w:pPr>
      <w:keepNext/>
      <w:tabs>
        <w:tab w:val="left" w:pos="284"/>
        <w:tab w:val="right" w:leader="dot" w:pos="8494"/>
      </w:tabs>
      <w:ind w:firstLine="0"/>
      <w:jc w:val="left"/>
    </w:pPr>
    <w:rPr>
      <w:b/>
      <w:bCs/>
      <w:caps/>
      <w:sz w:val="20"/>
      <w:szCs w:val="20"/>
    </w:rPr>
  </w:style>
  <w:style w:type="paragraph" w:styleId="TDC2">
    <w:name w:val="toc 2"/>
    <w:basedOn w:val="Normal"/>
    <w:next w:val="Normal"/>
    <w:autoRedefine/>
    <w:uiPriority w:val="39"/>
    <w:rsid w:val="006C13E3"/>
    <w:pPr>
      <w:tabs>
        <w:tab w:val="left" w:pos="709"/>
        <w:tab w:val="right" w:leader="dot" w:pos="8494"/>
      </w:tabs>
      <w:spacing w:before="0" w:after="0"/>
      <w:ind w:left="240" w:firstLine="44"/>
      <w:jc w:val="left"/>
    </w:pPr>
    <w:rPr>
      <w:smallCaps/>
      <w:sz w:val="20"/>
      <w:szCs w:val="20"/>
    </w:rPr>
  </w:style>
  <w:style w:type="paragraph" w:styleId="TDC3">
    <w:name w:val="toc 3"/>
    <w:basedOn w:val="Normal"/>
    <w:next w:val="Normal"/>
    <w:autoRedefine/>
    <w:uiPriority w:val="39"/>
    <w:rsid w:val="006C13E3"/>
    <w:pPr>
      <w:tabs>
        <w:tab w:val="left" w:pos="709"/>
        <w:tab w:val="left" w:pos="1560"/>
        <w:tab w:val="right" w:leader="dot" w:pos="8494"/>
      </w:tabs>
      <w:spacing w:before="0" w:after="0"/>
      <w:ind w:left="480" w:firstLine="371"/>
      <w:jc w:val="left"/>
    </w:pPr>
    <w:rPr>
      <w:i/>
      <w:iCs/>
      <w:sz w:val="20"/>
      <w:szCs w:val="20"/>
    </w:rPr>
  </w:style>
  <w:style w:type="paragraph" w:styleId="Tabladeilustraciones">
    <w:name w:val="table of figures"/>
    <w:basedOn w:val="Normal"/>
    <w:next w:val="Normal"/>
    <w:link w:val="TabladeilustracionesCar"/>
    <w:uiPriority w:val="99"/>
    <w:rsid w:val="00425788"/>
    <w:rPr>
      <w:smallCaps/>
      <w:szCs w:val="20"/>
      <w:lang w:bidi="en-US"/>
    </w:rPr>
  </w:style>
  <w:style w:type="character" w:customStyle="1" w:styleId="TabladeilustracionesCar">
    <w:name w:val="Tabla de ilustraciones Car"/>
    <w:basedOn w:val="Fuentedeprrafopredeter"/>
    <w:link w:val="Tabladeilustraciones"/>
    <w:uiPriority w:val="99"/>
    <w:rsid w:val="00F70855"/>
    <w:rPr>
      <w:rFonts w:ascii="Times New Roman" w:eastAsia="Times New Roman" w:hAnsi="Times New Roman" w:cs="Times New Roman"/>
      <w:smallCaps/>
      <w:sz w:val="24"/>
      <w:szCs w:val="20"/>
      <w:lang w:eastAsia="pt-BR" w:bidi="en-US"/>
    </w:rPr>
  </w:style>
  <w:style w:type="paragraph" w:styleId="TDC4">
    <w:name w:val="toc 4"/>
    <w:basedOn w:val="Normal"/>
    <w:next w:val="Normal"/>
    <w:autoRedefine/>
    <w:uiPriority w:val="39"/>
    <w:unhideWhenUsed/>
    <w:rsid w:val="005722CD"/>
    <w:pPr>
      <w:spacing w:before="0" w:after="0"/>
      <w:ind w:left="720"/>
      <w:jc w:val="left"/>
    </w:pPr>
    <w:rPr>
      <w:sz w:val="18"/>
      <w:szCs w:val="18"/>
    </w:rPr>
  </w:style>
  <w:style w:type="paragraph" w:styleId="TDC5">
    <w:name w:val="toc 5"/>
    <w:basedOn w:val="Normal"/>
    <w:next w:val="Normal"/>
    <w:autoRedefine/>
    <w:uiPriority w:val="39"/>
    <w:unhideWhenUsed/>
    <w:rsid w:val="005722CD"/>
    <w:pPr>
      <w:spacing w:before="0" w:after="0"/>
      <w:ind w:left="960"/>
      <w:jc w:val="left"/>
    </w:pPr>
    <w:rPr>
      <w:sz w:val="18"/>
      <w:szCs w:val="18"/>
    </w:rPr>
  </w:style>
  <w:style w:type="paragraph" w:styleId="TDC6">
    <w:name w:val="toc 6"/>
    <w:basedOn w:val="Normal"/>
    <w:next w:val="Normal"/>
    <w:autoRedefine/>
    <w:uiPriority w:val="39"/>
    <w:unhideWhenUsed/>
    <w:rsid w:val="005722CD"/>
    <w:pPr>
      <w:spacing w:before="0" w:after="0"/>
      <w:ind w:left="1200"/>
      <w:jc w:val="left"/>
    </w:pPr>
    <w:rPr>
      <w:sz w:val="18"/>
      <w:szCs w:val="18"/>
    </w:rPr>
  </w:style>
  <w:style w:type="paragraph" w:styleId="TDC7">
    <w:name w:val="toc 7"/>
    <w:basedOn w:val="Normal"/>
    <w:next w:val="Normal"/>
    <w:autoRedefine/>
    <w:uiPriority w:val="39"/>
    <w:unhideWhenUsed/>
    <w:rsid w:val="005722CD"/>
    <w:pPr>
      <w:spacing w:before="0" w:after="0"/>
      <w:ind w:left="1440"/>
      <w:jc w:val="left"/>
    </w:pPr>
    <w:rPr>
      <w:sz w:val="18"/>
      <w:szCs w:val="18"/>
    </w:rPr>
  </w:style>
  <w:style w:type="paragraph" w:styleId="TDC8">
    <w:name w:val="toc 8"/>
    <w:basedOn w:val="Normal"/>
    <w:next w:val="Normal"/>
    <w:autoRedefine/>
    <w:uiPriority w:val="39"/>
    <w:unhideWhenUsed/>
    <w:rsid w:val="005722CD"/>
    <w:pPr>
      <w:spacing w:before="0" w:after="0"/>
      <w:ind w:left="1680"/>
      <w:jc w:val="left"/>
    </w:pPr>
    <w:rPr>
      <w:sz w:val="18"/>
      <w:szCs w:val="18"/>
    </w:rPr>
  </w:style>
  <w:style w:type="paragraph" w:styleId="TDC9">
    <w:name w:val="toc 9"/>
    <w:basedOn w:val="Normal"/>
    <w:next w:val="Normal"/>
    <w:autoRedefine/>
    <w:uiPriority w:val="39"/>
    <w:unhideWhenUsed/>
    <w:rsid w:val="005722CD"/>
    <w:pPr>
      <w:spacing w:before="0" w:after="0"/>
      <w:ind w:left="1920"/>
      <w:jc w:val="left"/>
    </w:pPr>
    <w:rPr>
      <w:sz w:val="18"/>
      <w:szCs w:val="18"/>
    </w:rPr>
  </w:style>
  <w:style w:type="paragraph" w:styleId="Prrafodelista">
    <w:name w:val="List Paragraph"/>
    <w:basedOn w:val="Normal"/>
    <w:link w:val="PrrafodelistaCar"/>
    <w:uiPriority w:val="34"/>
    <w:qFormat/>
    <w:rsid w:val="002206B2"/>
    <w:pPr>
      <w:ind w:left="720"/>
      <w:contextualSpacing/>
    </w:pPr>
  </w:style>
  <w:style w:type="character" w:customStyle="1" w:styleId="PrrafodelistaCar">
    <w:name w:val="Párrafo de lista Car"/>
    <w:link w:val="Prrafodelista"/>
    <w:uiPriority w:val="34"/>
    <w:locked/>
    <w:rsid w:val="00822347"/>
    <w:rPr>
      <w:rFonts w:ascii="Times New Roman" w:eastAsia="Times New Roman" w:hAnsi="Times New Roman" w:cs="Times New Roman"/>
      <w:sz w:val="24"/>
      <w:lang w:eastAsia="pt-BR"/>
    </w:rPr>
  </w:style>
  <w:style w:type="paragraph" w:styleId="Textodeglobo">
    <w:name w:val="Balloon Text"/>
    <w:basedOn w:val="Normal"/>
    <w:link w:val="TextodegloboCar"/>
    <w:uiPriority w:val="99"/>
    <w:semiHidden/>
    <w:unhideWhenUsed/>
    <w:rsid w:val="00AB781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818"/>
    <w:rPr>
      <w:rFonts w:ascii="Tahoma" w:eastAsia="Times New Roman" w:hAnsi="Tahoma" w:cs="Tahoma"/>
      <w:sz w:val="16"/>
      <w:szCs w:val="16"/>
      <w:lang w:val="en-GB" w:eastAsia="pt-BR"/>
    </w:rPr>
  </w:style>
  <w:style w:type="paragraph" w:styleId="Descripcin">
    <w:name w:val="caption"/>
    <w:aliases w:val="Legenda GO,Centralizar"/>
    <w:basedOn w:val="Normal"/>
    <w:next w:val="Normal"/>
    <w:link w:val="DescripcinCar"/>
    <w:uiPriority w:val="35"/>
    <w:unhideWhenUsed/>
    <w:qFormat/>
    <w:rsid w:val="00DE38E3"/>
    <w:pPr>
      <w:keepNext/>
      <w:spacing w:after="0" w:afterAutospacing="0" w:line="240" w:lineRule="auto"/>
      <w:ind w:firstLine="0"/>
      <w:jc w:val="center"/>
    </w:pPr>
    <w:rPr>
      <w:bCs/>
      <w:caps/>
      <w:color w:val="000000" w:themeColor="text1"/>
      <w:szCs w:val="18"/>
    </w:rPr>
  </w:style>
  <w:style w:type="character" w:customStyle="1" w:styleId="DescripcinCar">
    <w:name w:val="Descripción Car"/>
    <w:aliases w:val="Legenda GO Car,Centralizar Car"/>
    <w:link w:val="Descripcin"/>
    <w:uiPriority w:val="35"/>
    <w:rsid w:val="00A04DF7"/>
    <w:rPr>
      <w:rFonts w:ascii="Times New Roman" w:eastAsia="Times New Roman" w:hAnsi="Times New Roman" w:cs="Times New Roman"/>
      <w:bCs/>
      <w:caps/>
      <w:color w:val="000000" w:themeColor="text1"/>
      <w:sz w:val="24"/>
      <w:szCs w:val="18"/>
      <w:lang w:eastAsia="pt-BR"/>
    </w:rPr>
  </w:style>
  <w:style w:type="character" w:styleId="Refdecomentario">
    <w:name w:val="annotation reference"/>
    <w:basedOn w:val="Fuentedeprrafopredeter"/>
    <w:uiPriority w:val="99"/>
    <w:semiHidden/>
    <w:unhideWhenUsed/>
    <w:rsid w:val="001C70B2"/>
    <w:rPr>
      <w:sz w:val="16"/>
      <w:szCs w:val="16"/>
    </w:rPr>
  </w:style>
  <w:style w:type="paragraph" w:styleId="Textocomentario">
    <w:name w:val="annotation text"/>
    <w:basedOn w:val="Normal"/>
    <w:link w:val="TextocomentarioCar"/>
    <w:unhideWhenUsed/>
    <w:rsid w:val="001C70B2"/>
    <w:pPr>
      <w:spacing w:line="240" w:lineRule="auto"/>
    </w:pPr>
    <w:rPr>
      <w:sz w:val="20"/>
      <w:szCs w:val="20"/>
    </w:rPr>
  </w:style>
  <w:style w:type="character" w:customStyle="1" w:styleId="TextocomentarioCar">
    <w:name w:val="Texto comentario Car"/>
    <w:basedOn w:val="Fuentedeprrafopredeter"/>
    <w:link w:val="Textocomentario"/>
    <w:rsid w:val="001C70B2"/>
    <w:rPr>
      <w:rFonts w:ascii="Times New Roman" w:eastAsia="Times New Roman" w:hAnsi="Times New Roman" w:cs="Times New Roman"/>
      <w:sz w:val="20"/>
      <w:szCs w:val="20"/>
      <w:lang w:val="en-GB" w:eastAsia="pt-BR"/>
    </w:rPr>
  </w:style>
  <w:style w:type="paragraph" w:styleId="Asuntodelcomentario">
    <w:name w:val="annotation subject"/>
    <w:basedOn w:val="Textocomentario"/>
    <w:next w:val="Textocomentario"/>
    <w:link w:val="AsuntodelcomentarioCar"/>
    <w:uiPriority w:val="99"/>
    <w:semiHidden/>
    <w:unhideWhenUsed/>
    <w:rsid w:val="001C70B2"/>
    <w:rPr>
      <w:b/>
      <w:bCs/>
    </w:rPr>
  </w:style>
  <w:style w:type="character" w:customStyle="1" w:styleId="AsuntodelcomentarioCar">
    <w:name w:val="Asunto del comentario Car"/>
    <w:basedOn w:val="TextocomentarioCar"/>
    <w:link w:val="Asuntodelcomentario"/>
    <w:uiPriority w:val="99"/>
    <w:semiHidden/>
    <w:rsid w:val="001C70B2"/>
    <w:rPr>
      <w:rFonts w:ascii="Times New Roman" w:eastAsia="Times New Roman" w:hAnsi="Times New Roman" w:cs="Times New Roman"/>
      <w:b/>
      <w:bCs/>
      <w:sz w:val="20"/>
      <w:szCs w:val="20"/>
      <w:lang w:val="en-GB" w:eastAsia="pt-BR"/>
    </w:rPr>
  </w:style>
  <w:style w:type="paragraph" w:styleId="NormalWeb">
    <w:name w:val="Normal (Web)"/>
    <w:basedOn w:val="Normal"/>
    <w:uiPriority w:val="99"/>
    <w:unhideWhenUsed/>
    <w:rsid w:val="00D216EF"/>
    <w:pPr>
      <w:spacing w:line="240" w:lineRule="auto"/>
      <w:ind w:firstLine="0"/>
      <w:jc w:val="left"/>
    </w:pPr>
    <w:rPr>
      <w:szCs w:val="24"/>
    </w:rPr>
  </w:style>
  <w:style w:type="character" w:customStyle="1" w:styleId="st">
    <w:name w:val="st"/>
    <w:basedOn w:val="Fuentedeprrafopredeter"/>
    <w:rsid w:val="00DA4A2C"/>
  </w:style>
  <w:style w:type="table" w:styleId="Tablaconcuadrcula">
    <w:name w:val="Table Grid"/>
    <w:basedOn w:val="Tablanormal"/>
    <w:rsid w:val="000C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E7E4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E7E4C"/>
    <w:rPr>
      <w:rFonts w:ascii="Times New Roman" w:eastAsia="Times New Roman" w:hAnsi="Times New Roman" w:cs="Times New Roman"/>
      <w:sz w:val="24"/>
      <w:lang w:val="en-GB" w:eastAsia="pt-BR"/>
    </w:rPr>
  </w:style>
  <w:style w:type="paragraph" w:styleId="Piedepgina">
    <w:name w:val="footer"/>
    <w:basedOn w:val="Normal"/>
    <w:link w:val="PiedepginaCar"/>
    <w:uiPriority w:val="99"/>
    <w:unhideWhenUsed/>
    <w:rsid w:val="00EE7E4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E7E4C"/>
    <w:rPr>
      <w:rFonts w:ascii="Times New Roman" w:eastAsia="Times New Roman" w:hAnsi="Times New Roman" w:cs="Times New Roman"/>
      <w:sz w:val="24"/>
      <w:lang w:val="en-GB" w:eastAsia="pt-BR"/>
    </w:rPr>
  </w:style>
  <w:style w:type="paragraph" w:styleId="Textosinformato">
    <w:name w:val="Plain Text"/>
    <w:basedOn w:val="Normal"/>
    <w:link w:val="TextosinformatoCar"/>
    <w:uiPriority w:val="99"/>
    <w:unhideWhenUsed/>
    <w:rsid w:val="005722CD"/>
    <w:pPr>
      <w:spacing w:before="0" w:beforeAutospacing="0" w:after="0" w:afterAutospacing="0" w:line="240" w:lineRule="auto"/>
      <w:ind w:firstLine="0"/>
      <w:jc w:val="left"/>
    </w:pPr>
    <w:rPr>
      <w:rFonts w:eastAsiaTheme="minorHAnsi" w:cs="Consolas"/>
      <w:szCs w:val="21"/>
      <w:lang w:eastAsia="en-US"/>
    </w:rPr>
  </w:style>
  <w:style w:type="character" w:customStyle="1" w:styleId="TextosinformatoCar">
    <w:name w:val="Texto sin formato Car"/>
    <w:basedOn w:val="Fuentedeprrafopredeter"/>
    <w:link w:val="Textosinformato"/>
    <w:uiPriority w:val="99"/>
    <w:rsid w:val="005722CD"/>
    <w:rPr>
      <w:rFonts w:ascii="Times New Roman" w:hAnsi="Times New Roman" w:cs="Consolas"/>
      <w:sz w:val="24"/>
      <w:szCs w:val="21"/>
    </w:rPr>
  </w:style>
  <w:style w:type="paragraph" w:customStyle="1" w:styleId="Fonte">
    <w:name w:val="Fonte"/>
    <w:basedOn w:val="Descripcin"/>
    <w:next w:val="Normal"/>
    <w:rsid w:val="008517ED"/>
    <w:pPr>
      <w:spacing w:after="100" w:line="360" w:lineRule="auto"/>
      <w:jc w:val="right"/>
    </w:pPr>
    <w:rPr>
      <w:b/>
      <w:bCs w:val="0"/>
      <w:i/>
      <w:color w:val="auto"/>
      <w:spacing w:val="10"/>
      <w:sz w:val="18"/>
      <w:lang w:eastAsia="en-US" w:bidi="en-US"/>
    </w:rPr>
  </w:style>
  <w:style w:type="character" w:customStyle="1" w:styleId="apple-converted-space">
    <w:name w:val="apple-converted-space"/>
    <w:basedOn w:val="Fuentedeprrafopredeter"/>
    <w:rsid w:val="005D6610"/>
  </w:style>
  <w:style w:type="character" w:styleId="Textodelmarcadordeposicin">
    <w:name w:val="Placeholder Text"/>
    <w:basedOn w:val="Fuentedeprrafopredeter"/>
    <w:uiPriority w:val="99"/>
    <w:semiHidden/>
    <w:rsid w:val="005D6610"/>
    <w:rPr>
      <w:color w:val="808080"/>
    </w:rPr>
  </w:style>
  <w:style w:type="paragraph" w:styleId="TtulodeTDC">
    <w:name w:val="TOC Heading"/>
    <w:basedOn w:val="Ttulo1"/>
    <w:next w:val="Normal"/>
    <w:uiPriority w:val="39"/>
    <w:semiHidden/>
    <w:unhideWhenUsed/>
    <w:qFormat/>
    <w:rsid w:val="005D6610"/>
    <w:pPr>
      <w:keepLines/>
      <w:numPr>
        <w:numId w:val="0"/>
      </w:numPr>
      <w:spacing w:before="480" w:beforeAutospacing="0" w:after="0" w:line="276" w:lineRule="auto"/>
      <w:jc w:val="left"/>
      <w:outlineLvl w:val="9"/>
    </w:pPr>
    <w:rPr>
      <w:rFonts w:asciiTheme="majorHAnsi" w:eastAsiaTheme="majorEastAsia" w:hAnsiTheme="majorHAnsi" w:cstheme="majorBidi"/>
      <w:caps w:val="0"/>
      <w:color w:val="3E762A" w:themeColor="accent1" w:themeShade="BF"/>
      <w:kern w:val="0"/>
      <w:sz w:val="28"/>
      <w:szCs w:val="28"/>
    </w:rPr>
  </w:style>
  <w:style w:type="character" w:styleId="Textoennegrita">
    <w:name w:val="Strong"/>
    <w:aliases w:val="Forte Ênfase"/>
    <w:basedOn w:val="Fuentedeprrafopredeter"/>
    <w:uiPriority w:val="22"/>
    <w:qFormat/>
    <w:rsid w:val="005536C8"/>
    <w:rPr>
      <w:b/>
      <w:bCs/>
      <w:u w:val="single"/>
    </w:rPr>
  </w:style>
  <w:style w:type="paragraph" w:styleId="Mapadeldocumento">
    <w:name w:val="Document Map"/>
    <w:basedOn w:val="Normal"/>
    <w:link w:val="MapadeldocumentoCar"/>
    <w:uiPriority w:val="99"/>
    <w:semiHidden/>
    <w:unhideWhenUsed/>
    <w:rsid w:val="00787D8D"/>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87D8D"/>
    <w:rPr>
      <w:rFonts w:ascii="Tahoma" w:eastAsia="Times New Roman" w:hAnsi="Tahoma" w:cs="Tahoma"/>
      <w:sz w:val="16"/>
      <w:szCs w:val="16"/>
      <w:lang w:val="en-GB" w:eastAsia="pt-BR"/>
    </w:rPr>
  </w:style>
  <w:style w:type="paragraph" w:styleId="Textoindependiente3">
    <w:name w:val="Body Text 3"/>
    <w:basedOn w:val="Normal"/>
    <w:link w:val="Textoindependiente3Car"/>
    <w:rsid w:val="00B447EC"/>
    <w:pPr>
      <w:numPr>
        <w:ilvl w:val="12"/>
      </w:numPr>
      <w:spacing w:before="0" w:beforeAutospacing="0" w:after="0" w:afterAutospacing="0" w:line="240" w:lineRule="auto"/>
      <w:ind w:firstLine="1134"/>
    </w:pPr>
    <w:rPr>
      <w:i/>
      <w:iCs/>
      <w:szCs w:val="20"/>
    </w:rPr>
  </w:style>
  <w:style w:type="character" w:customStyle="1" w:styleId="Textoindependiente3Car">
    <w:name w:val="Texto independiente 3 Car"/>
    <w:basedOn w:val="Fuentedeprrafopredeter"/>
    <w:link w:val="Textoindependiente3"/>
    <w:rsid w:val="00B447EC"/>
    <w:rPr>
      <w:rFonts w:ascii="Times New Roman" w:eastAsia="Times New Roman" w:hAnsi="Times New Roman" w:cs="Times New Roman"/>
      <w:i/>
      <w:iCs/>
      <w:sz w:val="24"/>
      <w:szCs w:val="20"/>
      <w:lang w:eastAsia="pt-BR"/>
    </w:rPr>
  </w:style>
  <w:style w:type="character" w:customStyle="1" w:styleId="url">
    <w:name w:val="url"/>
    <w:basedOn w:val="Fuentedeprrafopredeter"/>
    <w:rsid w:val="00D24527"/>
  </w:style>
  <w:style w:type="paragraph" w:customStyle="1" w:styleId="Default">
    <w:name w:val="Default"/>
    <w:rsid w:val="005722CD"/>
    <w:pPr>
      <w:autoSpaceDE w:val="0"/>
      <w:autoSpaceDN w:val="0"/>
      <w:adjustRightInd w:val="0"/>
      <w:spacing w:after="0" w:line="240" w:lineRule="auto"/>
    </w:pPr>
    <w:rPr>
      <w:rFonts w:ascii="Times New Roman" w:hAnsi="Times New Roman" w:cs="Calibri"/>
      <w:color w:val="000000"/>
      <w:sz w:val="24"/>
      <w:szCs w:val="24"/>
    </w:rPr>
  </w:style>
  <w:style w:type="table" w:styleId="Listaclara-nfasis6">
    <w:name w:val="Light List Accent 6"/>
    <w:basedOn w:val="Tablanormal"/>
    <w:uiPriority w:val="61"/>
    <w:rsid w:val="00162AE4"/>
    <w:pPr>
      <w:spacing w:after="0" w:line="240" w:lineRule="auto"/>
    </w:p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character" w:styleId="Hipervnculovisitado">
    <w:name w:val="FollowedHyperlink"/>
    <w:basedOn w:val="Fuentedeprrafopredeter"/>
    <w:uiPriority w:val="99"/>
    <w:semiHidden/>
    <w:unhideWhenUsed/>
    <w:rsid w:val="00AA4762"/>
    <w:rPr>
      <w:color w:val="BA6906" w:themeColor="followedHyperlink"/>
      <w:u w:val="single"/>
    </w:rPr>
  </w:style>
  <w:style w:type="table" w:styleId="Cuadrculaclara-nfasis6">
    <w:name w:val="Light Grid Accent 6"/>
    <w:basedOn w:val="Tablanormal"/>
    <w:uiPriority w:val="62"/>
    <w:rsid w:val="00B82A03"/>
    <w:pPr>
      <w:spacing w:after="0" w:line="240" w:lineRule="auto"/>
    </w:p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stavistosa-nfasis5">
    <w:name w:val="Colorful List Accent 5"/>
    <w:basedOn w:val="Tablanormal"/>
    <w:uiPriority w:val="72"/>
    <w:rsid w:val="00B82A0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Sombreadomedio2-nfasis6">
    <w:name w:val="Medium Shading 2 Accent 6"/>
    <w:basedOn w:val="Tablanormal"/>
    <w:uiPriority w:val="64"/>
    <w:rsid w:val="002D04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6">
    <w:name w:val="Medium Grid 1 Accent 6"/>
    <w:basedOn w:val="Tablanormal"/>
    <w:uiPriority w:val="67"/>
    <w:rsid w:val="00421C58"/>
    <w:pPr>
      <w:spacing w:after="0" w:line="240" w:lineRule="auto"/>
    </w:pPr>
    <w:tblPr>
      <w:tblStyleRowBandSize w:val="1"/>
      <w:tblStyleColBandSize w:val="1"/>
      <w:tblInd w:w="0" w:type="dxa"/>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CellMar>
        <w:top w:w="0" w:type="dxa"/>
        <w:left w:w="108" w:type="dxa"/>
        <w:bottom w:w="0" w:type="dxa"/>
        <w:right w:w="108" w:type="dxa"/>
      </w:tblCellMar>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Listamedia2-nfasis6">
    <w:name w:val="Medium List 2 Accent 6"/>
    <w:basedOn w:val="Tablanormal"/>
    <w:uiPriority w:val="66"/>
    <w:rsid w:val="00421C5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989B1" w:themeColor="accent6"/>
        <w:left w:val="single" w:sz="8" w:space="0" w:color="0989B1" w:themeColor="accent6"/>
        <w:bottom w:val="single" w:sz="8" w:space="0" w:color="0989B1" w:themeColor="accent6"/>
        <w:right w:val="single" w:sz="8" w:space="0" w:color="0989B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6">
    <w:name w:val="Light Shading Accent 6"/>
    <w:basedOn w:val="Tablanormal"/>
    <w:uiPriority w:val="60"/>
    <w:rsid w:val="00D1129F"/>
    <w:pPr>
      <w:spacing w:after="0" w:line="240" w:lineRule="auto"/>
    </w:pPr>
    <w:rPr>
      <w:color w:val="066684" w:themeColor="accent6" w:themeShade="BF"/>
    </w:rPr>
    <w:tblPr>
      <w:tblStyleRowBandSize w:val="1"/>
      <w:tblStyleColBandSize w:val="1"/>
      <w:tblInd w:w="0" w:type="dxa"/>
      <w:tblBorders>
        <w:top w:val="single" w:sz="8" w:space="0" w:color="0989B1" w:themeColor="accent6"/>
        <w:bottom w:val="single" w:sz="8" w:space="0" w:color="0989B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customStyle="1" w:styleId="highlightedglossaryterm">
    <w:name w:val="highlightedglossaryterm"/>
    <w:basedOn w:val="Fuentedeprrafopredeter"/>
    <w:rsid w:val="00A80212"/>
  </w:style>
  <w:style w:type="table" w:styleId="Sombreadomedio1-nfasis6">
    <w:name w:val="Medium Shading 1 Accent 6"/>
    <w:basedOn w:val="Tablanormal"/>
    <w:uiPriority w:val="63"/>
    <w:rsid w:val="001739CC"/>
    <w:pPr>
      <w:spacing w:after="0" w:line="240" w:lineRule="auto"/>
    </w:pPr>
    <w:tblPr>
      <w:tblStyleRowBandSize w:val="1"/>
      <w:tblStyleColBandSize w:val="1"/>
      <w:tblInd w:w="0" w:type="dxa"/>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59595C"/>
    <w:pPr>
      <w:spacing w:after="0" w:line="240" w:lineRule="auto"/>
    </w:pPr>
    <w:rPr>
      <w:color w:val="000000" w:themeColor="text1"/>
    </w:rPr>
    <w:tblPr>
      <w:tblStyleRowBandSize w:val="1"/>
      <w:tblStyleColBandSize w:val="1"/>
      <w:tblInd w:w="0" w:type="dxa"/>
      <w:tblBorders>
        <w:top w:val="single" w:sz="8" w:space="0" w:color="0989B1" w:themeColor="accent6"/>
        <w:bottom w:val="single" w:sz="8" w:space="0" w:color="0989B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Cuadrculavistosa-nfasis6">
    <w:name w:val="Colorful Grid Accent 6"/>
    <w:basedOn w:val="Tablanormal"/>
    <w:uiPriority w:val="73"/>
    <w:rsid w:val="00595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paragraph" w:customStyle="1" w:styleId="NoParagraphStyle">
    <w:name w:val="[No Paragraph Style]"/>
    <w:rsid w:val="00A056A0"/>
    <w:pPr>
      <w:widowControl w:val="0"/>
      <w:suppressAutoHyphens/>
      <w:autoSpaceDE w:val="0"/>
      <w:autoSpaceDN w:val="0"/>
      <w:spacing w:after="0" w:line="288" w:lineRule="auto"/>
      <w:textAlignment w:val="center"/>
    </w:pPr>
    <w:rPr>
      <w:rFonts w:ascii="Times-Roman, 'MS PMincho'" w:eastAsia="Times-Roman, 'MS PMincho'" w:hAnsi="Times-Roman, 'MS PMincho'" w:cs="Times-Roman, 'MS PMincho'"/>
      <w:color w:val="000000"/>
      <w:kern w:val="3"/>
      <w:sz w:val="24"/>
      <w:szCs w:val="24"/>
      <w:lang w:val="en-GB" w:eastAsia="zh-CN" w:bidi="hi-IN"/>
    </w:rPr>
  </w:style>
  <w:style w:type="paragraph" w:customStyle="1" w:styleId="BasicParagraph">
    <w:name w:val="[Basic Paragraph]"/>
    <w:basedOn w:val="NoParagraphStyle"/>
    <w:rsid w:val="00A056A0"/>
  </w:style>
  <w:style w:type="paragraph" w:customStyle="1" w:styleId="Standard">
    <w:name w:val="Standard"/>
    <w:rsid w:val="00BD0F6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GOAssociados">
    <w:name w:val="GO_Associados"/>
    <w:basedOn w:val="TabeladeGrade5Escura-nfase21"/>
    <w:uiPriority w:val="99"/>
    <w:rsid w:val="00051E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customStyle="1" w:styleId="TabeladeGrade5Escura-nfase21">
    <w:name w:val="Tabela de Grade 5 Escura - Ênfase 21"/>
    <w:basedOn w:val="Tablanormal"/>
    <w:uiPriority w:val="50"/>
    <w:rsid w:val="00051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customStyle="1" w:styleId="Tabela1">
    <w:name w:val="Tabela 1"/>
    <w:basedOn w:val="TabeladeGrade5Escura-nfase21"/>
    <w:uiPriority w:val="99"/>
    <w:rsid w:val="00051E7D"/>
    <w:rPr>
      <w:rFonts w:ascii="Times New Roman" w:hAnsi="Times New Roman"/>
      <w:sz w:val="20"/>
      <w:szCs w:val="20"/>
      <w:lang w:val="en-US" w:eastAsia="pt-B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rFonts w:ascii="Times New Roman" w:hAnsi="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character" w:customStyle="1" w:styleId="a-color-state">
    <w:name w:val="a-color-state"/>
    <w:basedOn w:val="Fuentedeprrafopredeter"/>
    <w:rsid w:val="001152F7"/>
  </w:style>
  <w:style w:type="paragraph" w:styleId="Bibliografa">
    <w:name w:val="Bibliography"/>
    <w:basedOn w:val="Normal"/>
    <w:next w:val="Normal"/>
    <w:uiPriority w:val="37"/>
    <w:unhideWhenUsed/>
    <w:rsid w:val="00435BB8"/>
  </w:style>
  <w:style w:type="table" w:styleId="Sombreadoclaro-nfasis1">
    <w:name w:val="Light Shading Accent 1"/>
    <w:basedOn w:val="Tablanormal"/>
    <w:uiPriority w:val="60"/>
    <w:rsid w:val="008E1CD9"/>
    <w:pPr>
      <w:spacing w:after="0" w:line="240" w:lineRule="auto"/>
    </w:pPr>
    <w:rPr>
      <w:color w:val="3E762A" w:themeColor="accent1" w:themeShade="BF"/>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Sombreadomedio1-nfasis3">
    <w:name w:val="Medium Shading 1 Accent 3"/>
    <w:basedOn w:val="Tablanormal"/>
    <w:uiPriority w:val="63"/>
    <w:rsid w:val="00CA3F93"/>
    <w:pPr>
      <w:spacing w:after="0" w:line="240" w:lineRule="auto"/>
    </w:pPr>
    <w:rPr>
      <w:rFonts w:ascii="Calibri" w:hAnsi="Calibri" w:cs="Times New Roman"/>
    </w:r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paragraph" w:customStyle="1" w:styleId="SumariodeQuadros">
    <w:name w:val="Sumario de Quadros"/>
    <w:basedOn w:val="Tabladeilustraciones"/>
    <w:link w:val="SumariodeQuadrosChar"/>
    <w:qFormat/>
    <w:rsid w:val="00F70855"/>
    <w:pPr>
      <w:tabs>
        <w:tab w:val="right" w:leader="dot" w:pos="8494"/>
      </w:tabs>
      <w:ind w:left="964" w:hanging="964"/>
    </w:pPr>
    <w:rPr>
      <w:sz w:val="20"/>
    </w:rPr>
  </w:style>
  <w:style w:type="character" w:customStyle="1" w:styleId="SumariodeQuadrosChar">
    <w:name w:val="Sumario de Quadros Char"/>
    <w:basedOn w:val="TabladeilustracionesCar"/>
    <w:link w:val="SumariodeQuadros"/>
    <w:rsid w:val="00F70855"/>
    <w:rPr>
      <w:rFonts w:ascii="Times New Roman" w:eastAsia="Times New Roman" w:hAnsi="Times New Roman" w:cs="Times New Roman"/>
      <w:smallCaps/>
      <w:sz w:val="20"/>
      <w:szCs w:val="20"/>
      <w:lang w:eastAsia="pt-BR" w:bidi="en-US"/>
    </w:rPr>
  </w:style>
  <w:style w:type="paragraph" w:customStyle="1" w:styleId="TtuloCapa">
    <w:name w:val="Título Capa"/>
    <w:basedOn w:val="Normal"/>
    <w:link w:val="TtuloCapaChar"/>
    <w:qFormat/>
    <w:rsid w:val="00703CB1"/>
    <w:pPr>
      <w:spacing w:before="0" w:beforeAutospacing="0" w:after="0" w:afterAutospacing="0" w:line="600" w:lineRule="exact"/>
      <w:ind w:firstLine="0"/>
      <w:jc w:val="center"/>
    </w:pPr>
    <w:rPr>
      <w:caps/>
      <w:color w:val="000000" w:themeColor="text1"/>
      <w:sz w:val="40"/>
      <w:szCs w:val="40"/>
    </w:rPr>
  </w:style>
  <w:style w:type="character" w:customStyle="1" w:styleId="TtuloCapaChar">
    <w:name w:val="Título Capa Char"/>
    <w:basedOn w:val="Fuentedeprrafopredeter"/>
    <w:link w:val="TtuloCapa"/>
    <w:rsid w:val="00703CB1"/>
    <w:rPr>
      <w:rFonts w:ascii="Times New Roman" w:eastAsia="Times New Roman" w:hAnsi="Times New Roman" w:cs="Times New Roman"/>
      <w:caps/>
      <w:color w:val="000000" w:themeColor="text1"/>
      <w:sz w:val="40"/>
      <w:szCs w:val="40"/>
      <w:lang w:eastAsia="pt-BR"/>
    </w:rPr>
  </w:style>
  <w:style w:type="paragraph" w:styleId="Cita">
    <w:name w:val="Quote"/>
    <w:basedOn w:val="Normal"/>
    <w:next w:val="Normal"/>
    <w:link w:val="CitaCar"/>
    <w:autoRedefine/>
    <w:uiPriority w:val="29"/>
    <w:qFormat/>
    <w:rsid w:val="00E94DF6"/>
    <w:pPr>
      <w:spacing w:before="400" w:beforeAutospacing="0" w:after="400" w:afterAutospacing="0"/>
      <w:ind w:left="1701" w:firstLine="0"/>
    </w:pPr>
    <w:rPr>
      <w:iCs/>
      <w:color w:val="404040" w:themeColor="text1" w:themeTint="BF"/>
      <w:sz w:val="22"/>
    </w:rPr>
  </w:style>
  <w:style w:type="character" w:customStyle="1" w:styleId="CitaCar">
    <w:name w:val="Cita Car"/>
    <w:basedOn w:val="Fuentedeprrafopredeter"/>
    <w:link w:val="Cita"/>
    <w:uiPriority w:val="29"/>
    <w:rsid w:val="00E94DF6"/>
    <w:rPr>
      <w:rFonts w:ascii="Times New Roman" w:eastAsia="Times New Roman" w:hAnsi="Times New Roman" w:cs="Times New Roman"/>
      <w:iCs/>
      <w:color w:val="404040" w:themeColor="text1" w:themeTint="BF"/>
      <w:lang w:eastAsia="pt-BR"/>
    </w:rPr>
  </w:style>
  <w:style w:type="paragraph" w:customStyle="1" w:styleId="Notaderodap">
    <w:name w:val="Nota de rodapé"/>
    <w:basedOn w:val="Normal"/>
    <w:link w:val="NotaderodapChar"/>
    <w:autoRedefine/>
    <w:qFormat/>
    <w:rsid w:val="00351619"/>
    <w:pPr>
      <w:tabs>
        <w:tab w:val="left" w:pos="2835"/>
      </w:tabs>
      <w:spacing w:line="240" w:lineRule="auto"/>
      <w:ind w:firstLine="0"/>
    </w:pPr>
    <w:rPr>
      <w:sz w:val="22"/>
      <w:szCs w:val="20"/>
    </w:rPr>
  </w:style>
  <w:style w:type="character" w:customStyle="1" w:styleId="NotaderodapChar">
    <w:name w:val="Nota de rodapé Char"/>
    <w:basedOn w:val="Fuentedeprrafopredeter"/>
    <w:link w:val="Notaderodap"/>
    <w:rsid w:val="00351619"/>
    <w:rPr>
      <w:rFonts w:ascii="Times New Roman" w:eastAsia="Times New Roman" w:hAnsi="Times New Roman" w:cs="Times New Roman"/>
      <w:szCs w:val="20"/>
      <w:lang w:eastAsia="pt-BR"/>
    </w:rPr>
  </w:style>
  <w:style w:type="paragraph" w:customStyle="1" w:styleId="Bulletsi">
    <w:name w:val="Bullets i)"/>
    <w:basedOn w:val="Prrafodelista"/>
    <w:link w:val="BulletsiChar"/>
    <w:qFormat/>
    <w:rsid w:val="00351619"/>
    <w:pPr>
      <w:numPr>
        <w:ilvl w:val="1"/>
        <w:numId w:val="2"/>
      </w:numPr>
    </w:pPr>
  </w:style>
  <w:style w:type="character" w:customStyle="1" w:styleId="BulletsiChar">
    <w:name w:val="Bullets i) Char"/>
    <w:basedOn w:val="PrrafodelistaCar"/>
    <w:link w:val="Bulletsi"/>
    <w:rsid w:val="00351619"/>
    <w:rPr>
      <w:rFonts w:ascii="Times New Roman" w:eastAsia="Times New Roman" w:hAnsi="Times New Roman" w:cs="Times New Roman"/>
      <w:sz w:val="24"/>
      <w:lang w:eastAsia="pt-BR"/>
    </w:rPr>
  </w:style>
  <w:style w:type="paragraph" w:customStyle="1" w:styleId="Bullets">
    <w:name w:val="Bullets º"/>
    <w:basedOn w:val="Bulletsi"/>
    <w:link w:val="BulletsChar"/>
    <w:autoRedefine/>
    <w:qFormat/>
    <w:rsid w:val="0085309B"/>
    <w:pPr>
      <w:numPr>
        <w:ilvl w:val="0"/>
        <w:numId w:val="3"/>
      </w:numPr>
    </w:pPr>
  </w:style>
  <w:style w:type="character" w:customStyle="1" w:styleId="BulletsChar">
    <w:name w:val="Bullets º Char"/>
    <w:basedOn w:val="BulletsiChar"/>
    <w:link w:val="Bullets"/>
    <w:rsid w:val="006812AF"/>
    <w:rPr>
      <w:rFonts w:ascii="Times New Roman" w:eastAsia="Times New Roman" w:hAnsi="Times New Roman" w:cs="Times New Roman"/>
      <w:sz w:val="24"/>
      <w:lang w:eastAsia="pt-BR"/>
    </w:rPr>
  </w:style>
  <w:style w:type="paragraph" w:customStyle="1" w:styleId="Quadro">
    <w:name w:val="Quadro"/>
    <w:basedOn w:val="Normal"/>
    <w:link w:val="QuadroChar"/>
    <w:qFormat/>
    <w:rsid w:val="00A04DF7"/>
    <w:pPr>
      <w:keepNext/>
      <w:spacing w:before="0" w:beforeAutospacing="0" w:after="0" w:afterAutospacing="0" w:line="240" w:lineRule="auto"/>
      <w:ind w:firstLine="0"/>
      <w:jc w:val="center"/>
    </w:pPr>
  </w:style>
  <w:style w:type="character" w:customStyle="1" w:styleId="QuadroChar">
    <w:name w:val="Quadro Char"/>
    <w:link w:val="Quadro"/>
    <w:rsid w:val="00A04DF7"/>
    <w:rPr>
      <w:rFonts w:ascii="Times New Roman" w:eastAsia="Times New Roman" w:hAnsi="Times New Roman" w:cs="Times New Roman"/>
      <w:sz w:val="24"/>
      <w:lang w:eastAsia="pt-BR"/>
    </w:rPr>
  </w:style>
  <w:style w:type="paragraph" w:styleId="HTMLconformatoprevio">
    <w:name w:val="HTML Preformatted"/>
    <w:basedOn w:val="Normal"/>
    <w:link w:val="HTMLconformatoprevioCar"/>
    <w:uiPriority w:val="99"/>
    <w:unhideWhenUsed/>
    <w:rsid w:val="00A0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jc w:val="left"/>
    </w:pPr>
    <w:rPr>
      <w:rFonts w:ascii="Courier New" w:eastAsiaTheme="minorHAnsi" w:hAnsi="Courier New" w:cs="Courier New"/>
      <w:sz w:val="20"/>
      <w:szCs w:val="20"/>
      <w:lang w:eastAsia="en-US"/>
    </w:rPr>
  </w:style>
  <w:style w:type="character" w:customStyle="1" w:styleId="HTMLconformatoprevioCar">
    <w:name w:val="HTML con formato previo Car"/>
    <w:basedOn w:val="Fuentedeprrafopredeter"/>
    <w:link w:val="HTMLconformatoprevio"/>
    <w:uiPriority w:val="99"/>
    <w:rsid w:val="00A04DF7"/>
    <w:rPr>
      <w:rFonts w:ascii="Courier New" w:hAnsi="Courier New" w:cs="Courier New"/>
      <w:sz w:val="20"/>
      <w:szCs w:val="20"/>
    </w:rPr>
  </w:style>
  <w:style w:type="paragraph" w:customStyle="1" w:styleId="FonteGO">
    <w:name w:val="Fonte GO"/>
    <w:basedOn w:val="Descripcin"/>
    <w:link w:val="FonteGOChar"/>
    <w:qFormat/>
    <w:rsid w:val="00A04DF7"/>
    <w:pPr>
      <w:spacing w:before="0" w:beforeAutospacing="0"/>
      <w:jc w:val="left"/>
    </w:pPr>
    <w:rPr>
      <w:bCs w:val="0"/>
      <w:caps w:val="0"/>
      <w:color w:val="auto"/>
      <w:sz w:val="20"/>
      <w:szCs w:val="20"/>
      <w:lang w:val="en-US"/>
    </w:rPr>
  </w:style>
  <w:style w:type="character" w:customStyle="1" w:styleId="FonteGOChar">
    <w:name w:val="Fonte GO Char"/>
    <w:link w:val="FonteGO"/>
    <w:rsid w:val="00A04DF7"/>
    <w:rPr>
      <w:rFonts w:ascii="Times New Roman" w:eastAsia="Times New Roman" w:hAnsi="Times New Roman" w:cs="Times New Roman"/>
      <w:sz w:val="20"/>
      <w:szCs w:val="20"/>
      <w:lang w:val="en-US" w:eastAsia="pt-BR"/>
    </w:rPr>
  </w:style>
  <w:style w:type="character" w:customStyle="1" w:styleId="CharAttribute22">
    <w:name w:val="CharAttribute22"/>
    <w:rsid w:val="00B46BCB"/>
    <w:rPr>
      <w:rFonts w:ascii="Times New Roman" w:eastAsia="Times New Roman"/>
      <w:sz w:val="24"/>
    </w:rPr>
  </w:style>
  <w:style w:type="table" w:customStyle="1" w:styleId="TabeladeGrade5Escura-nfase11">
    <w:name w:val="Tabela de Grade 5 Escura - Ênfase 11"/>
    <w:basedOn w:val="Tablanormal"/>
    <w:uiPriority w:val="50"/>
    <w:rsid w:val="00B46BCB"/>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F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49E3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49E3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49E3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49E39"/>
      </w:tcPr>
    </w:tblStylePr>
    <w:tblStylePr w:type="band1Vert">
      <w:tblPr/>
      <w:tcPr>
        <w:shd w:val="clear" w:color="auto" w:fill="B7DFA8"/>
      </w:tcPr>
    </w:tblStylePr>
    <w:tblStylePr w:type="band1Horz">
      <w:tblPr/>
      <w:tcPr>
        <w:shd w:val="clear" w:color="auto" w:fill="B7DFA8"/>
      </w:tcPr>
    </w:tblStylePr>
  </w:style>
  <w:style w:type="table" w:customStyle="1" w:styleId="Tabladecuadrcula4-nfasis11">
    <w:name w:val="Tabla de cuadrícula 4 - Énfasis 11"/>
    <w:basedOn w:val="Tablanormal"/>
    <w:uiPriority w:val="49"/>
    <w:rsid w:val="00371A2D"/>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msonormal0">
    <w:name w:val="msonormal"/>
    <w:basedOn w:val="Normal"/>
    <w:rsid w:val="00D31F98"/>
    <w:pPr>
      <w:spacing w:line="240" w:lineRule="auto"/>
      <w:ind w:firstLine="0"/>
      <w:jc w:val="left"/>
    </w:pPr>
    <w:rPr>
      <w:szCs w:val="24"/>
    </w:rPr>
  </w:style>
  <w:style w:type="paragraph" w:customStyle="1" w:styleId="xl65">
    <w:name w:val="xl65"/>
    <w:basedOn w:val="Normal"/>
    <w:rsid w:val="00D31F98"/>
    <w:pPr>
      <w:pBdr>
        <w:top w:val="single" w:sz="4" w:space="0" w:color="A9D08E"/>
        <w:bottom w:val="single" w:sz="4" w:space="0" w:color="A9D08E"/>
      </w:pBdr>
      <w:spacing w:line="240" w:lineRule="auto"/>
      <w:ind w:firstLine="0"/>
      <w:jc w:val="left"/>
    </w:pPr>
    <w:rPr>
      <w:szCs w:val="24"/>
    </w:rPr>
  </w:style>
  <w:style w:type="paragraph" w:customStyle="1" w:styleId="xl66">
    <w:name w:val="xl66"/>
    <w:basedOn w:val="Normal"/>
    <w:rsid w:val="00D31F98"/>
    <w:pPr>
      <w:pBdr>
        <w:top w:val="single" w:sz="4" w:space="0" w:color="A9D08E"/>
        <w:bottom w:val="single" w:sz="4" w:space="0" w:color="A9D08E"/>
      </w:pBdr>
      <w:shd w:val="clear" w:color="E2EFDA" w:fill="E2EFDA"/>
      <w:spacing w:line="240" w:lineRule="auto"/>
      <w:ind w:firstLine="0"/>
      <w:jc w:val="left"/>
    </w:pPr>
    <w:rPr>
      <w:szCs w:val="24"/>
    </w:rPr>
  </w:style>
  <w:style w:type="paragraph" w:customStyle="1" w:styleId="xl67">
    <w:name w:val="xl67"/>
    <w:basedOn w:val="Normal"/>
    <w:rsid w:val="00D31F98"/>
    <w:pPr>
      <w:pBdr>
        <w:top w:val="single" w:sz="4" w:space="0" w:color="A9D08E"/>
        <w:bottom w:val="single" w:sz="4" w:space="0" w:color="A9D08E"/>
      </w:pBdr>
      <w:shd w:val="clear" w:color="70AD47" w:fill="70AD47"/>
      <w:spacing w:line="240" w:lineRule="auto"/>
      <w:ind w:firstLine="0"/>
      <w:jc w:val="left"/>
    </w:pPr>
    <w:rPr>
      <w:b/>
      <w:bCs/>
      <w:color w:val="FFFFFF"/>
      <w:szCs w:val="24"/>
    </w:rPr>
  </w:style>
  <w:style w:type="paragraph" w:customStyle="1" w:styleId="xl68">
    <w:name w:val="xl68"/>
    <w:basedOn w:val="Normal"/>
    <w:rsid w:val="00D31F98"/>
    <w:pPr>
      <w:pBdr>
        <w:top w:val="single" w:sz="4" w:space="0" w:color="A9D08E"/>
        <w:bottom w:val="single" w:sz="4" w:space="0" w:color="A9D08E"/>
      </w:pBdr>
      <w:shd w:val="clear" w:color="E2EFDA" w:fill="E2EFDA"/>
      <w:spacing w:line="240" w:lineRule="auto"/>
      <w:ind w:firstLine="0"/>
      <w:jc w:val="left"/>
    </w:pPr>
    <w:rPr>
      <w:szCs w:val="24"/>
    </w:rPr>
  </w:style>
  <w:style w:type="paragraph" w:customStyle="1" w:styleId="xl69">
    <w:name w:val="xl69"/>
    <w:basedOn w:val="Normal"/>
    <w:rsid w:val="00D31F98"/>
    <w:pPr>
      <w:pBdr>
        <w:top w:val="single" w:sz="4" w:space="0" w:color="A9D08E"/>
        <w:bottom w:val="single" w:sz="4" w:space="0" w:color="A9D08E"/>
      </w:pBdr>
      <w:spacing w:line="240" w:lineRule="auto"/>
      <w:ind w:firstLine="0"/>
      <w:jc w:val="left"/>
    </w:pPr>
    <w:rPr>
      <w:szCs w:val="24"/>
    </w:rPr>
  </w:style>
  <w:style w:type="paragraph" w:customStyle="1" w:styleId="xl70">
    <w:name w:val="xl70"/>
    <w:basedOn w:val="Normal"/>
    <w:rsid w:val="00D31F98"/>
    <w:pPr>
      <w:pBdr>
        <w:top w:val="single" w:sz="4" w:space="0" w:color="A9D08E"/>
        <w:bottom w:val="single" w:sz="4" w:space="0" w:color="A9D08E"/>
      </w:pBdr>
      <w:shd w:val="clear" w:color="E2EFDA" w:fill="E2EFDA"/>
      <w:spacing w:line="240" w:lineRule="auto"/>
      <w:ind w:firstLine="0"/>
      <w:jc w:val="left"/>
    </w:pPr>
    <w:rPr>
      <w:szCs w:val="24"/>
    </w:rPr>
  </w:style>
  <w:style w:type="paragraph" w:customStyle="1" w:styleId="xl71">
    <w:name w:val="xl71"/>
    <w:basedOn w:val="Normal"/>
    <w:rsid w:val="00D31F98"/>
    <w:pPr>
      <w:pBdr>
        <w:top w:val="single" w:sz="4" w:space="0" w:color="A9D08E"/>
        <w:bottom w:val="single" w:sz="4" w:space="0" w:color="A9D08E"/>
      </w:pBdr>
      <w:spacing w:line="240" w:lineRule="auto"/>
      <w:ind w:firstLine="0"/>
      <w:jc w:val="left"/>
    </w:pPr>
    <w:rPr>
      <w:szCs w:val="24"/>
    </w:rPr>
  </w:style>
  <w:style w:type="paragraph" w:customStyle="1" w:styleId="xl72">
    <w:name w:val="xl72"/>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73">
    <w:name w:val="xl73"/>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74">
    <w:name w:val="xl74"/>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75">
    <w:name w:val="xl75"/>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76">
    <w:name w:val="xl76"/>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77">
    <w:name w:val="xl77"/>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78">
    <w:name w:val="xl78"/>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79">
    <w:name w:val="xl79"/>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80">
    <w:name w:val="xl80"/>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81">
    <w:name w:val="xl81"/>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82">
    <w:name w:val="xl82"/>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83">
    <w:name w:val="xl83"/>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84">
    <w:name w:val="xl84"/>
    <w:basedOn w:val="Normal"/>
    <w:rsid w:val="00D31F98"/>
    <w:pPr>
      <w:pBdr>
        <w:top w:val="single" w:sz="4" w:space="0" w:color="A9D08E"/>
        <w:bottom w:val="single" w:sz="4" w:space="0" w:color="A9D08E"/>
      </w:pBdr>
      <w:spacing w:line="240" w:lineRule="auto"/>
      <w:ind w:firstLine="0"/>
      <w:jc w:val="right"/>
      <w:textAlignment w:val="center"/>
    </w:pPr>
    <w:rPr>
      <w:szCs w:val="24"/>
    </w:rPr>
  </w:style>
  <w:style w:type="paragraph" w:customStyle="1" w:styleId="xl85">
    <w:name w:val="xl85"/>
    <w:basedOn w:val="Normal"/>
    <w:rsid w:val="00D31F98"/>
    <w:pPr>
      <w:pBdr>
        <w:top w:val="single" w:sz="4" w:space="0" w:color="A9D08E"/>
        <w:bottom w:val="single" w:sz="4" w:space="0" w:color="A9D08E"/>
      </w:pBdr>
      <w:shd w:val="clear" w:color="E2EFDA" w:fill="E2EFDA"/>
      <w:spacing w:line="240" w:lineRule="auto"/>
      <w:ind w:firstLine="0"/>
      <w:jc w:val="right"/>
      <w:textAlignment w:val="center"/>
    </w:pPr>
    <w:rPr>
      <w:szCs w:val="24"/>
    </w:rPr>
  </w:style>
  <w:style w:type="paragraph" w:customStyle="1" w:styleId="xl86">
    <w:name w:val="xl86"/>
    <w:basedOn w:val="Normal"/>
    <w:rsid w:val="00D31F98"/>
    <w:pPr>
      <w:pBdr>
        <w:bottom w:val="single" w:sz="4" w:space="0" w:color="A9D08E"/>
      </w:pBdr>
      <w:shd w:val="clear" w:color="70AD47" w:fill="70AD47"/>
      <w:spacing w:line="240" w:lineRule="auto"/>
      <w:ind w:firstLine="0"/>
      <w:jc w:val="left"/>
    </w:pPr>
    <w:rPr>
      <w:b/>
      <w:bCs/>
      <w:color w:val="FFFFFF"/>
      <w:szCs w:val="24"/>
    </w:rPr>
  </w:style>
  <w:style w:type="paragraph" w:customStyle="1" w:styleId="xl87">
    <w:name w:val="xl87"/>
    <w:basedOn w:val="Normal"/>
    <w:rsid w:val="00D31F98"/>
    <w:pPr>
      <w:pBdr>
        <w:bottom w:val="single" w:sz="4" w:space="0" w:color="A9D08E"/>
      </w:pBdr>
      <w:shd w:val="clear" w:color="70AD47" w:fill="70AD47"/>
      <w:spacing w:line="240" w:lineRule="auto"/>
      <w:ind w:firstLine="0"/>
      <w:jc w:val="left"/>
      <w:textAlignment w:val="center"/>
    </w:pPr>
    <w:rPr>
      <w:b/>
      <w:bCs/>
      <w:color w:val="FFFFFF"/>
      <w:szCs w:val="24"/>
    </w:rPr>
  </w:style>
  <w:style w:type="paragraph" w:customStyle="1" w:styleId="xl88">
    <w:name w:val="xl88"/>
    <w:basedOn w:val="Normal"/>
    <w:rsid w:val="00D31F98"/>
    <w:pPr>
      <w:pBdr>
        <w:top w:val="single" w:sz="4" w:space="0" w:color="A9D08E"/>
      </w:pBdr>
      <w:shd w:val="clear" w:color="E2EFDA" w:fill="E2EFDA"/>
      <w:spacing w:line="240" w:lineRule="auto"/>
      <w:ind w:firstLine="0"/>
      <w:jc w:val="left"/>
    </w:pPr>
    <w:rPr>
      <w:szCs w:val="24"/>
    </w:rPr>
  </w:style>
  <w:style w:type="paragraph" w:customStyle="1" w:styleId="xl89">
    <w:name w:val="xl89"/>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0">
    <w:name w:val="xl90"/>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1">
    <w:name w:val="xl91"/>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2">
    <w:name w:val="xl92"/>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3">
    <w:name w:val="xl93"/>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4">
    <w:name w:val="xl94"/>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5">
    <w:name w:val="xl95"/>
    <w:basedOn w:val="Normal"/>
    <w:rsid w:val="00D31F98"/>
    <w:pPr>
      <w:pBdr>
        <w:top w:val="single" w:sz="4" w:space="0" w:color="A9D08E"/>
      </w:pBdr>
      <w:shd w:val="clear" w:color="E2EFDA" w:fill="E2EFDA"/>
      <w:spacing w:line="240" w:lineRule="auto"/>
      <w:ind w:firstLine="0"/>
      <w:jc w:val="right"/>
      <w:textAlignment w:val="center"/>
    </w:pPr>
    <w:rPr>
      <w:szCs w:val="24"/>
    </w:rPr>
  </w:style>
  <w:style w:type="paragraph" w:customStyle="1" w:styleId="xl96">
    <w:name w:val="xl96"/>
    <w:basedOn w:val="Normal"/>
    <w:rsid w:val="00D31F98"/>
    <w:pPr>
      <w:pBdr>
        <w:top w:val="single" w:sz="4" w:space="0" w:color="A9D08E"/>
      </w:pBdr>
      <w:shd w:val="clear" w:color="E2EFDA" w:fill="E2EFDA"/>
      <w:spacing w:line="240" w:lineRule="auto"/>
      <w:ind w:firstLine="0"/>
      <w:jc w:val="left"/>
    </w:pPr>
    <w:rPr>
      <w:szCs w:val="24"/>
    </w:rPr>
  </w:style>
  <w:style w:type="paragraph" w:customStyle="1" w:styleId="xl97">
    <w:name w:val="xl97"/>
    <w:basedOn w:val="Normal"/>
    <w:rsid w:val="00D31F98"/>
    <w:pPr>
      <w:pBdr>
        <w:bottom w:val="single" w:sz="4" w:space="0" w:color="A9D08E"/>
      </w:pBdr>
      <w:shd w:val="clear" w:color="70AD47" w:fill="E2EFDA"/>
      <w:spacing w:line="240" w:lineRule="auto"/>
      <w:ind w:firstLine="0"/>
      <w:jc w:val="left"/>
      <w:textAlignment w:val="center"/>
    </w:pPr>
    <w:rPr>
      <w:b/>
      <w:bCs/>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027">
      <w:bodyDiv w:val="1"/>
      <w:marLeft w:val="0"/>
      <w:marRight w:val="0"/>
      <w:marTop w:val="0"/>
      <w:marBottom w:val="0"/>
      <w:divBdr>
        <w:top w:val="none" w:sz="0" w:space="0" w:color="auto"/>
        <w:left w:val="none" w:sz="0" w:space="0" w:color="auto"/>
        <w:bottom w:val="none" w:sz="0" w:space="0" w:color="auto"/>
        <w:right w:val="none" w:sz="0" w:space="0" w:color="auto"/>
      </w:divBdr>
    </w:div>
    <w:div w:id="26301026">
      <w:bodyDiv w:val="1"/>
      <w:marLeft w:val="0"/>
      <w:marRight w:val="0"/>
      <w:marTop w:val="0"/>
      <w:marBottom w:val="0"/>
      <w:divBdr>
        <w:top w:val="none" w:sz="0" w:space="0" w:color="auto"/>
        <w:left w:val="none" w:sz="0" w:space="0" w:color="auto"/>
        <w:bottom w:val="none" w:sz="0" w:space="0" w:color="auto"/>
        <w:right w:val="none" w:sz="0" w:space="0" w:color="auto"/>
      </w:divBdr>
    </w:div>
    <w:div w:id="28409822">
      <w:bodyDiv w:val="1"/>
      <w:marLeft w:val="0"/>
      <w:marRight w:val="0"/>
      <w:marTop w:val="0"/>
      <w:marBottom w:val="0"/>
      <w:divBdr>
        <w:top w:val="none" w:sz="0" w:space="0" w:color="auto"/>
        <w:left w:val="none" w:sz="0" w:space="0" w:color="auto"/>
        <w:bottom w:val="none" w:sz="0" w:space="0" w:color="auto"/>
        <w:right w:val="none" w:sz="0" w:space="0" w:color="auto"/>
      </w:divBdr>
    </w:div>
    <w:div w:id="39208792">
      <w:bodyDiv w:val="1"/>
      <w:marLeft w:val="0"/>
      <w:marRight w:val="0"/>
      <w:marTop w:val="0"/>
      <w:marBottom w:val="0"/>
      <w:divBdr>
        <w:top w:val="none" w:sz="0" w:space="0" w:color="auto"/>
        <w:left w:val="none" w:sz="0" w:space="0" w:color="auto"/>
        <w:bottom w:val="none" w:sz="0" w:space="0" w:color="auto"/>
        <w:right w:val="none" w:sz="0" w:space="0" w:color="auto"/>
      </w:divBdr>
    </w:div>
    <w:div w:id="45951461">
      <w:bodyDiv w:val="1"/>
      <w:marLeft w:val="0"/>
      <w:marRight w:val="0"/>
      <w:marTop w:val="0"/>
      <w:marBottom w:val="0"/>
      <w:divBdr>
        <w:top w:val="none" w:sz="0" w:space="0" w:color="auto"/>
        <w:left w:val="none" w:sz="0" w:space="0" w:color="auto"/>
        <w:bottom w:val="none" w:sz="0" w:space="0" w:color="auto"/>
        <w:right w:val="none" w:sz="0" w:space="0" w:color="auto"/>
      </w:divBdr>
    </w:div>
    <w:div w:id="80684885">
      <w:bodyDiv w:val="1"/>
      <w:marLeft w:val="0"/>
      <w:marRight w:val="0"/>
      <w:marTop w:val="0"/>
      <w:marBottom w:val="0"/>
      <w:divBdr>
        <w:top w:val="none" w:sz="0" w:space="0" w:color="auto"/>
        <w:left w:val="none" w:sz="0" w:space="0" w:color="auto"/>
        <w:bottom w:val="none" w:sz="0" w:space="0" w:color="auto"/>
        <w:right w:val="none" w:sz="0" w:space="0" w:color="auto"/>
      </w:divBdr>
    </w:div>
    <w:div w:id="81028022">
      <w:bodyDiv w:val="1"/>
      <w:marLeft w:val="0"/>
      <w:marRight w:val="0"/>
      <w:marTop w:val="0"/>
      <w:marBottom w:val="0"/>
      <w:divBdr>
        <w:top w:val="none" w:sz="0" w:space="0" w:color="auto"/>
        <w:left w:val="none" w:sz="0" w:space="0" w:color="auto"/>
        <w:bottom w:val="none" w:sz="0" w:space="0" w:color="auto"/>
        <w:right w:val="none" w:sz="0" w:space="0" w:color="auto"/>
      </w:divBdr>
    </w:div>
    <w:div w:id="106125723">
      <w:bodyDiv w:val="1"/>
      <w:marLeft w:val="0"/>
      <w:marRight w:val="0"/>
      <w:marTop w:val="0"/>
      <w:marBottom w:val="0"/>
      <w:divBdr>
        <w:top w:val="none" w:sz="0" w:space="0" w:color="auto"/>
        <w:left w:val="none" w:sz="0" w:space="0" w:color="auto"/>
        <w:bottom w:val="none" w:sz="0" w:space="0" w:color="auto"/>
        <w:right w:val="none" w:sz="0" w:space="0" w:color="auto"/>
      </w:divBdr>
    </w:div>
    <w:div w:id="108278113">
      <w:bodyDiv w:val="1"/>
      <w:marLeft w:val="0"/>
      <w:marRight w:val="0"/>
      <w:marTop w:val="0"/>
      <w:marBottom w:val="0"/>
      <w:divBdr>
        <w:top w:val="none" w:sz="0" w:space="0" w:color="auto"/>
        <w:left w:val="none" w:sz="0" w:space="0" w:color="auto"/>
        <w:bottom w:val="none" w:sz="0" w:space="0" w:color="auto"/>
        <w:right w:val="none" w:sz="0" w:space="0" w:color="auto"/>
      </w:divBdr>
    </w:div>
    <w:div w:id="110516036">
      <w:bodyDiv w:val="1"/>
      <w:marLeft w:val="0"/>
      <w:marRight w:val="0"/>
      <w:marTop w:val="0"/>
      <w:marBottom w:val="0"/>
      <w:divBdr>
        <w:top w:val="none" w:sz="0" w:space="0" w:color="auto"/>
        <w:left w:val="none" w:sz="0" w:space="0" w:color="auto"/>
        <w:bottom w:val="none" w:sz="0" w:space="0" w:color="auto"/>
        <w:right w:val="none" w:sz="0" w:space="0" w:color="auto"/>
      </w:divBdr>
    </w:div>
    <w:div w:id="115295864">
      <w:bodyDiv w:val="1"/>
      <w:marLeft w:val="0"/>
      <w:marRight w:val="0"/>
      <w:marTop w:val="0"/>
      <w:marBottom w:val="0"/>
      <w:divBdr>
        <w:top w:val="none" w:sz="0" w:space="0" w:color="auto"/>
        <w:left w:val="none" w:sz="0" w:space="0" w:color="auto"/>
        <w:bottom w:val="none" w:sz="0" w:space="0" w:color="auto"/>
        <w:right w:val="none" w:sz="0" w:space="0" w:color="auto"/>
      </w:divBdr>
      <w:divsChild>
        <w:div w:id="1943957038">
          <w:marLeft w:val="0"/>
          <w:marRight w:val="0"/>
          <w:marTop w:val="192"/>
          <w:marBottom w:val="0"/>
          <w:divBdr>
            <w:top w:val="none" w:sz="0" w:space="0" w:color="auto"/>
            <w:left w:val="none" w:sz="0" w:space="0" w:color="auto"/>
            <w:bottom w:val="none" w:sz="0" w:space="0" w:color="auto"/>
            <w:right w:val="none" w:sz="0" w:space="0" w:color="auto"/>
          </w:divBdr>
        </w:div>
      </w:divsChild>
    </w:div>
    <w:div w:id="147132874">
      <w:bodyDiv w:val="1"/>
      <w:marLeft w:val="0"/>
      <w:marRight w:val="0"/>
      <w:marTop w:val="0"/>
      <w:marBottom w:val="0"/>
      <w:divBdr>
        <w:top w:val="none" w:sz="0" w:space="0" w:color="auto"/>
        <w:left w:val="none" w:sz="0" w:space="0" w:color="auto"/>
        <w:bottom w:val="none" w:sz="0" w:space="0" w:color="auto"/>
        <w:right w:val="none" w:sz="0" w:space="0" w:color="auto"/>
      </w:divBdr>
    </w:div>
    <w:div w:id="166289669">
      <w:bodyDiv w:val="1"/>
      <w:marLeft w:val="0"/>
      <w:marRight w:val="0"/>
      <w:marTop w:val="0"/>
      <w:marBottom w:val="0"/>
      <w:divBdr>
        <w:top w:val="none" w:sz="0" w:space="0" w:color="auto"/>
        <w:left w:val="none" w:sz="0" w:space="0" w:color="auto"/>
        <w:bottom w:val="none" w:sz="0" w:space="0" w:color="auto"/>
        <w:right w:val="none" w:sz="0" w:space="0" w:color="auto"/>
      </w:divBdr>
      <w:divsChild>
        <w:div w:id="1798645626">
          <w:marLeft w:val="0"/>
          <w:marRight w:val="0"/>
          <w:marTop w:val="192"/>
          <w:marBottom w:val="0"/>
          <w:divBdr>
            <w:top w:val="none" w:sz="0" w:space="0" w:color="auto"/>
            <w:left w:val="none" w:sz="0" w:space="0" w:color="auto"/>
            <w:bottom w:val="none" w:sz="0" w:space="0" w:color="auto"/>
            <w:right w:val="none" w:sz="0" w:space="0" w:color="auto"/>
          </w:divBdr>
        </w:div>
      </w:divsChild>
    </w:div>
    <w:div w:id="176235539">
      <w:bodyDiv w:val="1"/>
      <w:marLeft w:val="0"/>
      <w:marRight w:val="0"/>
      <w:marTop w:val="0"/>
      <w:marBottom w:val="0"/>
      <w:divBdr>
        <w:top w:val="none" w:sz="0" w:space="0" w:color="auto"/>
        <w:left w:val="none" w:sz="0" w:space="0" w:color="auto"/>
        <w:bottom w:val="none" w:sz="0" w:space="0" w:color="auto"/>
        <w:right w:val="none" w:sz="0" w:space="0" w:color="auto"/>
      </w:divBdr>
    </w:div>
    <w:div w:id="183179639">
      <w:bodyDiv w:val="1"/>
      <w:marLeft w:val="0"/>
      <w:marRight w:val="0"/>
      <w:marTop w:val="0"/>
      <w:marBottom w:val="0"/>
      <w:divBdr>
        <w:top w:val="none" w:sz="0" w:space="0" w:color="auto"/>
        <w:left w:val="none" w:sz="0" w:space="0" w:color="auto"/>
        <w:bottom w:val="none" w:sz="0" w:space="0" w:color="auto"/>
        <w:right w:val="none" w:sz="0" w:space="0" w:color="auto"/>
      </w:divBdr>
    </w:div>
    <w:div w:id="198131935">
      <w:bodyDiv w:val="1"/>
      <w:marLeft w:val="0"/>
      <w:marRight w:val="0"/>
      <w:marTop w:val="0"/>
      <w:marBottom w:val="0"/>
      <w:divBdr>
        <w:top w:val="none" w:sz="0" w:space="0" w:color="auto"/>
        <w:left w:val="none" w:sz="0" w:space="0" w:color="auto"/>
        <w:bottom w:val="none" w:sz="0" w:space="0" w:color="auto"/>
        <w:right w:val="none" w:sz="0" w:space="0" w:color="auto"/>
      </w:divBdr>
    </w:div>
    <w:div w:id="201289747">
      <w:bodyDiv w:val="1"/>
      <w:marLeft w:val="0"/>
      <w:marRight w:val="0"/>
      <w:marTop w:val="0"/>
      <w:marBottom w:val="0"/>
      <w:divBdr>
        <w:top w:val="none" w:sz="0" w:space="0" w:color="auto"/>
        <w:left w:val="none" w:sz="0" w:space="0" w:color="auto"/>
        <w:bottom w:val="none" w:sz="0" w:space="0" w:color="auto"/>
        <w:right w:val="none" w:sz="0" w:space="0" w:color="auto"/>
      </w:divBdr>
    </w:div>
    <w:div w:id="210701281">
      <w:bodyDiv w:val="1"/>
      <w:marLeft w:val="0"/>
      <w:marRight w:val="0"/>
      <w:marTop w:val="0"/>
      <w:marBottom w:val="0"/>
      <w:divBdr>
        <w:top w:val="none" w:sz="0" w:space="0" w:color="auto"/>
        <w:left w:val="none" w:sz="0" w:space="0" w:color="auto"/>
        <w:bottom w:val="none" w:sz="0" w:space="0" w:color="auto"/>
        <w:right w:val="none" w:sz="0" w:space="0" w:color="auto"/>
      </w:divBdr>
    </w:div>
    <w:div w:id="226113257">
      <w:bodyDiv w:val="1"/>
      <w:marLeft w:val="0"/>
      <w:marRight w:val="0"/>
      <w:marTop w:val="0"/>
      <w:marBottom w:val="0"/>
      <w:divBdr>
        <w:top w:val="none" w:sz="0" w:space="0" w:color="auto"/>
        <w:left w:val="none" w:sz="0" w:space="0" w:color="auto"/>
        <w:bottom w:val="none" w:sz="0" w:space="0" w:color="auto"/>
        <w:right w:val="none" w:sz="0" w:space="0" w:color="auto"/>
      </w:divBdr>
    </w:div>
    <w:div w:id="227151406">
      <w:bodyDiv w:val="1"/>
      <w:marLeft w:val="0"/>
      <w:marRight w:val="0"/>
      <w:marTop w:val="0"/>
      <w:marBottom w:val="0"/>
      <w:divBdr>
        <w:top w:val="none" w:sz="0" w:space="0" w:color="auto"/>
        <w:left w:val="none" w:sz="0" w:space="0" w:color="auto"/>
        <w:bottom w:val="none" w:sz="0" w:space="0" w:color="auto"/>
        <w:right w:val="none" w:sz="0" w:space="0" w:color="auto"/>
      </w:divBdr>
    </w:div>
    <w:div w:id="243298678">
      <w:bodyDiv w:val="1"/>
      <w:marLeft w:val="0"/>
      <w:marRight w:val="0"/>
      <w:marTop w:val="0"/>
      <w:marBottom w:val="0"/>
      <w:divBdr>
        <w:top w:val="none" w:sz="0" w:space="0" w:color="auto"/>
        <w:left w:val="none" w:sz="0" w:space="0" w:color="auto"/>
        <w:bottom w:val="none" w:sz="0" w:space="0" w:color="auto"/>
        <w:right w:val="none" w:sz="0" w:space="0" w:color="auto"/>
      </w:divBdr>
    </w:div>
    <w:div w:id="273633519">
      <w:bodyDiv w:val="1"/>
      <w:marLeft w:val="0"/>
      <w:marRight w:val="0"/>
      <w:marTop w:val="0"/>
      <w:marBottom w:val="0"/>
      <w:divBdr>
        <w:top w:val="none" w:sz="0" w:space="0" w:color="auto"/>
        <w:left w:val="none" w:sz="0" w:space="0" w:color="auto"/>
        <w:bottom w:val="none" w:sz="0" w:space="0" w:color="auto"/>
        <w:right w:val="none" w:sz="0" w:space="0" w:color="auto"/>
      </w:divBdr>
    </w:div>
    <w:div w:id="285815826">
      <w:bodyDiv w:val="1"/>
      <w:marLeft w:val="0"/>
      <w:marRight w:val="0"/>
      <w:marTop w:val="0"/>
      <w:marBottom w:val="0"/>
      <w:divBdr>
        <w:top w:val="none" w:sz="0" w:space="0" w:color="auto"/>
        <w:left w:val="none" w:sz="0" w:space="0" w:color="auto"/>
        <w:bottom w:val="none" w:sz="0" w:space="0" w:color="auto"/>
        <w:right w:val="none" w:sz="0" w:space="0" w:color="auto"/>
      </w:divBdr>
    </w:div>
    <w:div w:id="288323162">
      <w:bodyDiv w:val="1"/>
      <w:marLeft w:val="0"/>
      <w:marRight w:val="0"/>
      <w:marTop w:val="0"/>
      <w:marBottom w:val="0"/>
      <w:divBdr>
        <w:top w:val="none" w:sz="0" w:space="0" w:color="auto"/>
        <w:left w:val="none" w:sz="0" w:space="0" w:color="auto"/>
        <w:bottom w:val="none" w:sz="0" w:space="0" w:color="auto"/>
        <w:right w:val="none" w:sz="0" w:space="0" w:color="auto"/>
      </w:divBdr>
    </w:div>
    <w:div w:id="300503757">
      <w:bodyDiv w:val="1"/>
      <w:marLeft w:val="0"/>
      <w:marRight w:val="0"/>
      <w:marTop w:val="0"/>
      <w:marBottom w:val="0"/>
      <w:divBdr>
        <w:top w:val="none" w:sz="0" w:space="0" w:color="auto"/>
        <w:left w:val="none" w:sz="0" w:space="0" w:color="auto"/>
        <w:bottom w:val="none" w:sz="0" w:space="0" w:color="auto"/>
        <w:right w:val="none" w:sz="0" w:space="0" w:color="auto"/>
      </w:divBdr>
    </w:div>
    <w:div w:id="302467981">
      <w:bodyDiv w:val="1"/>
      <w:marLeft w:val="0"/>
      <w:marRight w:val="0"/>
      <w:marTop w:val="0"/>
      <w:marBottom w:val="0"/>
      <w:divBdr>
        <w:top w:val="none" w:sz="0" w:space="0" w:color="auto"/>
        <w:left w:val="none" w:sz="0" w:space="0" w:color="auto"/>
        <w:bottom w:val="none" w:sz="0" w:space="0" w:color="auto"/>
        <w:right w:val="none" w:sz="0" w:space="0" w:color="auto"/>
      </w:divBdr>
    </w:div>
    <w:div w:id="322241517">
      <w:bodyDiv w:val="1"/>
      <w:marLeft w:val="0"/>
      <w:marRight w:val="0"/>
      <w:marTop w:val="0"/>
      <w:marBottom w:val="0"/>
      <w:divBdr>
        <w:top w:val="none" w:sz="0" w:space="0" w:color="auto"/>
        <w:left w:val="none" w:sz="0" w:space="0" w:color="auto"/>
        <w:bottom w:val="none" w:sz="0" w:space="0" w:color="auto"/>
        <w:right w:val="none" w:sz="0" w:space="0" w:color="auto"/>
      </w:divBdr>
    </w:div>
    <w:div w:id="332297768">
      <w:bodyDiv w:val="1"/>
      <w:marLeft w:val="0"/>
      <w:marRight w:val="0"/>
      <w:marTop w:val="0"/>
      <w:marBottom w:val="0"/>
      <w:divBdr>
        <w:top w:val="none" w:sz="0" w:space="0" w:color="auto"/>
        <w:left w:val="none" w:sz="0" w:space="0" w:color="auto"/>
        <w:bottom w:val="none" w:sz="0" w:space="0" w:color="auto"/>
        <w:right w:val="none" w:sz="0" w:space="0" w:color="auto"/>
      </w:divBdr>
    </w:div>
    <w:div w:id="340009905">
      <w:bodyDiv w:val="1"/>
      <w:marLeft w:val="0"/>
      <w:marRight w:val="0"/>
      <w:marTop w:val="0"/>
      <w:marBottom w:val="0"/>
      <w:divBdr>
        <w:top w:val="none" w:sz="0" w:space="0" w:color="auto"/>
        <w:left w:val="none" w:sz="0" w:space="0" w:color="auto"/>
        <w:bottom w:val="none" w:sz="0" w:space="0" w:color="auto"/>
        <w:right w:val="none" w:sz="0" w:space="0" w:color="auto"/>
      </w:divBdr>
    </w:div>
    <w:div w:id="341665268">
      <w:bodyDiv w:val="1"/>
      <w:marLeft w:val="0"/>
      <w:marRight w:val="0"/>
      <w:marTop w:val="0"/>
      <w:marBottom w:val="0"/>
      <w:divBdr>
        <w:top w:val="none" w:sz="0" w:space="0" w:color="auto"/>
        <w:left w:val="none" w:sz="0" w:space="0" w:color="auto"/>
        <w:bottom w:val="none" w:sz="0" w:space="0" w:color="auto"/>
        <w:right w:val="none" w:sz="0" w:space="0" w:color="auto"/>
      </w:divBdr>
    </w:div>
    <w:div w:id="348335420">
      <w:bodyDiv w:val="1"/>
      <w:marLeft w:val="0"/>
      <w:marRight w:val="0"/>
      <w:marTop w:val="0"/>
      <w:marBottom w:val="0"/>
      <w:divBdr>
        <w:top w:val="none" w:sz="0" w:space="0" w:color="auto"/>
        <w:left w:val="none" w:sz="0" w:space="0" w:color="auto"/>
        <w:bottom w:val="none" w:sz="0" w:space="0" w:color="auto"/>
        <w:right w:val="none" w:sz="0" w:space="0" w:color="auto"/>
      </w:divBdr>
    </w:div>
    <w:div w:id="359823077">
      <w:bodyDiv w:val="1"/>
      <w:marLeft w:val="0"/>
      <w:marRight w:val="0"/>
      <w:marTop w:val="0"/>
      <w:marBottom w:val="0"/>
      <w:divBdr>
        <w:top w:val="none" w:sz="0" w:space="0" w:color="auto"/>
        <w:left w:val="none" w:sz="0" w:space="0" w:color="auto"/>
        <w:bottom w:val="none" w:sz="0" w:space="0" w:color="auto"/>
        <w:right w:val="none" w:sz="0" w:space="0" w:color="auto"/>
      </w:divBdr>
    </w:div>
    <w:div w:id="370804400">
      <w:bodyDiv w:val="1"/>
      <w:marLeft w:val="0"/>
      <w:marRight w:val="0"/>
      <w:marTop w:val="0"/>
      <w:marBottom w:val="0"/>
      <w:divBdr>
        <w:top w:val="none" w:sz="0" w:space="0" w:color="auto"/>
        <w:left w:val="none" w:sz="0" w:space="0" w:color="auto"/>
        <w:bottom w:val="none" w:sz="0" w:space="0" w:color="auto"/>
        <w:right w:val="none" w:sz="0" w:space="0" w:color="auto"/>
      </w:divBdr>
    </w:div>
    <w:div w:id="372004538">
      <w:bodyDiv w:val="1"/>
      <w:marLeft w:val="0"/>
      <w:marRight w:val="0"/>
      <w:marTop w:val="0"/>
      <w:marBottom w:val="0"/>
      <w:divBdr>
        <w:top w:val="none" w:sz="0" w:space="0" w:color="auto"/>
        <w:left w:val="none" w:sz="0" w:space="0" w:color="auto"/>
        <w:bottom w:val="none" w:sz="0" w:space="0" w:color="auto"/>
        <w:right w:val="none" w:sz="0" w:space="0" w:color="auto"/>
      </w:divBdr>
    </w:div>
    <w:div w:id="373695970">
      <w:bodyDiv w:val="1"/>
      <w:marLeft w:val="0"/>
      <w:marRight w:val="0"/>
      <w:marTop w:val="0"/>
      <w:marBottom w:val="0"/>
      <w:divBdr>
        <w:top w:val="none" w:sz="0" w:space="0" w:color="auto"/>
        <w:left w:val="none" w:sz="0" w:space="0" w:color="auto"/>
        <w:bottom w:val="none" w:sz="0" w:space="0" w:color="auto"/>
        <w:right w:val="none" w:sz="0" w:space="0" w:color="auto"/>
      </w:divBdr>
    </w:div>
    <w:div w:id="377320484">
      <w:bodyDiv w:val="1"/>
      <w:marLeft w:val="0"/>
      <w:marRight w:val="0"/>
      <w:marTop w:val="0"/>
      <w:marBottom w:val="0"/>
      <w:divBdr>
        <w:top w:val="none" w:sz="0" w:space="0" w:color="auto"/>
        <w:left w:val="none" w:sz="0" w:space="0" w:color="auto"/>
        <w:bottom w:val="none" w:sz="0" w:space="0" w:color="auto"/>
        <w:right w:val="none" w:sz="0" w:space="0" w:color="auto"/>
      </w:divBdr>
    </w:div>
    <w:div w:id="397560056">
      <w:bodyDiv w:val="1"/>
      <w:marLeft w:val="0"/>
      <w:marRight w:val="0"/>
      <w:marTop w:val="0"/>
      <w:marBottom w:val="0"/>
      <w:divBdr>
        <w:top w:val="none" w:sz="0" w:space="0" w:color="auto"/>
        <w:left w:val="none" w:sz="0" w:space="0" w:color="auto"/>
        <w:bottom w:val="none" w:sz="0" w:space="0" w:color="auto"/>
        <w:right w:val="none" w:sz="0" w:space="0" w:color="auto"/>
      </w:divBdr>
    </w:div>
    <w:div w:id="397899210">
      <w:bodyDiv w:val="1"/>
      <w:marLeft w:val="0"/>
      <w:marRight w:val="0"/>
      <w:marTop w:val="0"/>
      <w:marBottom w:val="0"/>
      <w:divBdr>
        <w:top w:val="none" w:sz="0" w:space="0" w:color="auto"/>
        <w:left w:val="none" w:sz="0" w:space="0" w:color="auto"/>
        <w:bottom w:val="none" w:sz="0" w:space="0" w:color="auto"/>
        <w:right w:val="none" w:sz="0" w:space="0" w:color="auto"/>
      </w:divBdr>
    </w:div>
    <w:div w:id="401022979">
      <w:bodyDiv w:val="1"/>
      <w:marLeft w:val="0"/>
      <w:marRight w:val="0"/>
      <w:marTop w:val="0"/>
      <w:marBottom w:val="0"/>
      <w:divBdr>
        <w:top w:val="none" w:sz="0" w:space="0" w:color="auto"/>
        <w:left w:val="none" w:sz="0" w:space="0" w:color="auto"/>
        <w:bottom w:val="none" w:sz="0" w:space="0" w:color="auto"/>
        <w:right w:val="none" w:sz="0" w:space="0" w:color="auto"/>
      </w:divBdr>
    </w:div>
    <w:div w:id="402796392">
      <w:bodyDiv w:val="1"/>
      <w:marLeft w:val="0"/>
      <w:marRight w:val="0"/>
      <w:marTop w:val="0"/>
      <w:marBottom w:val="0"/>
      <w:divBdr>
        <w:top w:val="none" w:sz="0" w:space="0" w:color="auto"/>
        <w:left w:val="none" w:sz="0" w:space="0" w:color="auto"/>
        <w:bottom w:val="none" w:sz="0" w:space="0" w:color="auto"/>
        <w:right w:val="none" w:sz="0" w:space="0" w:color="auto"/>
      </w:divBdr>
    </w:div>
    <w:div w:id="403376094">
      <w:bodyDiv w:val="1"/>
      <w:marLeft w:val="0"/>
      <w:marRight w:val="0"/>
      <w:marTop w:val="0"/>
      <w:marBottom w:val="0"/>
      <w:divBdr>
        <w:top w:val="none" w:sz="0" w:space="0" w:color="auto"/>
        <w:left w:val="none" w:sz="0" w:space="0" w:color="auto"/>
        <w:bottom w:val="none" w:sz="0" w:space="0" w:color="auto"/>
        <w:right w:val="none" w:sz="0" w:space="0" w:color="auto"/>
      </w:divBdr>
    </w:div>
    <w:div w:id="409348843">
      <w:bodyDiv w:val="1"/>
      <w:marLeft w:val="0"/>
      <w:marRight w:val="0"/>
      <w:marTop w:val="0"/>
      <w:marBottom w:val="0"/>
      <w:divBdr>
        <w:top w:val="none" w:sz="0" w:space="0" w:color="auto"/>
        <w:left w:val="none" w:sz="0" w:space="0" w:color="auto"/>
        <w:bottom w:val="none" w:sz="0" w:space="0" w:color="auto"/>
        <w:right w:val="none" w:sz="0" w:space="0" w:color="auto"/>
      </w:divBdr>
    </w:div>
    <w:div w:id="412356151">
      <w:bodyDiv w:val="1"/>
      <w:marLeft w:val="0"/>
      <w:marRight w:val="0"/>
      <w:marTop w:val="0"/>
      <w:marBottom w:val="0"/>
      <w:divBdr>
        <w:top w:val="none" w:sz="0" w:space="0" w:color="auto"/>
        <w:left w:val="none" w:sz="0" w:space="0" w:color="auto"/>
        <w:bottom w:val="none" w:sz="0" w:space="0" w:color="auto"/>
        <w:right w:val="none" w:sz="0" w:space="0" w:color="auto"/>
      </w:divBdr>
    </w:div>
    <w:div w:id="429471431">
      <w:bodyDiv w:val="1"/>
      <w:marLeft w:val="0"/>
      <w:marRight w:val="0"/>
      <w:marTop w:val="0"/>
      <w:marBottom w:val="0"/>
      <w:divBdr>
        <w:top w:val="none" w:sz="0" w:space="0" w:color="auto"/>
        <w:left w:val="none" w:sz="0" w:space="0" w:color="auto"/>
        <w:bottom w:val="none" w:sz="0" w:space="0" w:color="auto"/>
        <w:right w:val="none" w:sz="0" w:space="0" w:color="auto"/>
      </w:divBdr>
    </w:div>
    <w:div w:id="436947431">
      <w:bodyDiv w:val="1"/>
      <w:marLeft w:val="0"/>
      <w:marRight w:val="0"/>
      <w:marTop w:val="0"/>
      <w:marBottom w:val="0"/>
      <w:divBdr>
        <w:top w:val="none" w:sz="0" w:space="0" w:color="auto"/>
        <w:left w:val="none" w:sz="0" w:space="0" w:color="auto"/>
        <w:bottom w:val="none" w:sz="0" w:space="0" w:color="auto"/>
        <w:right w:val="none" w:sz="0" w:space="0" w:color="auto"/>
      </w:divBdr>
    </w:div>
    <w:div w:id="446891824">
      <w:bodyDiv w:val="1"/>
      <w:marLeft w:val="0"/>
      <w:marRight w:val="0"/>
      <w:marTop w:val="0"/>
      <w:marBottom w:val="0"/>
      <w:divBdr>
        <w:top w:val="none" w:sz="0" w:space="0" w:color="auto"/>
        <w:left w:val="none" w:sz="0" w:space="0" w:color="auto"/>
        <w:bottom w:val="none" w:sz="0" w:space="0" w:color="auto"/>
        <w:right w:val="none" w:sz="0" w:space="0" w:color="auto"/>
      </w:divBdr>
    </w:div>
    <w:div w:id="455222540">
      <w:bodyDiv w:val="1"/>
      <w:marLeft w:val="0"/>
      <w:marRight w:val="0"/>
      <w:marTop w:val="0"/>
      <w:marBottom w:val="0"/>
      <w:divBdr>
        <w:top w:val="none" w:sz="0" w:space="0" w:color="auto"/>
        <w:left w:val="none" w:sz="0" w:space="0" w:color="auto"/>
        <w:bottom w:val="none" w:sz="0" w:space="0" w:color="auto"/>
        <w:right w:val="none" w:sz="0" w:space="0" w:color="auto"/>
      </w:divBdr>
    </w:div>
    <w:div w:id="461726613">
      <w:bodyDiv w:val="1"/>
      <w:marLeft w:val="0"/>
      <w:marRight w:val="0"/>
      <w:marTop w:val="0"/>
      <w:marBottom w:val="0"/>
      <w:divBdr>
        <w:top w:val="none" w:sz="0" w:space="0" w:color="auto"/>
        <w:left w:val="none" w:sz="0" w:space="0" w:color="auto"/>
        <w:bottom w:val="none" w:sz="0" w:space="0" w:color="auto"/>
        <w:right w:val="none" w:sz="0" w:space="0" w:color="auto"/>
      </w:divBdr>
    </w:div>
    <w:div w:id="480079955">
      <w:bodyDiv w:val="1"/>
      <w:marLeft w:val="0"/>
      <w:marRight w:val="0"/>
      <w:marTop w:val="0"/>
      <w:marBottom w:val="0"/>
      <w:divBdr>
        <w:top w:val="none" w:sz="0" w:space="0" w:color="auto"/>
        <w:left w:val="none" w:sz="0" w:space="0" w:color="auto"/>
        <w:bottom w:val="none" w:sz="0" w:space="0" w:color="auto"/>
        <w:right w:val="none" w:sz="0" w:space="0" w:color="auto"/>
      </w:divBdr>
    </w:div>
    <w:div w:id="484980653">
      <w:bodyDiv w:val="1"/>
      <w:marLeft w:val="0"/>
      <w:marRight w:val="0"/>
      <w:marTop w:val="0"/>
      <w:marBottom w:val="0"/>
      <w:divBdr>
        <w:top w:val="none" w:sz="0" w:space="0" w:color="auto"/>
        <w:left w:val="none" w:sz="0" w:space="0" w:color="auto"/>
        <w:bottom w:val="none" w:sz="0" w:space="0" w:color="auto"/>
        <w:right w:val="none" w:sz="0" w:space="0" w:color="auto"/>
      </w:divBdr>
    </w:div>
    <w:div w:id="485324977">
      <w:bodyDiv w:val="1"/>
      <w:marLeft w:val="0"/>
      <w:marRight w:val="0"/>
      <w:marTop w:val="0"/>
      <w:marBottom w:val="0"/>
      <w:divBdr>
        <w:top w:val="none" w:sz="0" w:space="0" w:color="auto"/>
        <w:left w:val="none" w:sz="0" w:space="0" w:color="auto"/>
        <w:bottom w:val="none" w:sz="0" w:space="0" w:color="auto"/>
        <w:right w:val="none" w:sz="0" w:space="0" w:color="auto"/>
      </w:divBdr>
    </w:div>
    <w:div w:id="492835246">
      <w:bodyDiv w:val="1"/>
      <w:marLeft w:val="0"/>
      <w:marRight w:val="0"/>
      <w:marTop w:val="0"/>
      <w:marBottom w:val="0"/>
      <w:divBdr>
        <w:top w:val="none" w:sz="0" w:space="0" w:color="auto"/>
        <w:left w:val="none" w:sz="0" w:space="0" w:color="auto"/>
        <w:bottom w:val="none" w:sz="0" w:space="0" w:color="auto"/>
        <w:right w:val="none" w:sz="0" w:space="0" w:color="auto"/>
      </w:divBdr>
    </w:div>
    <w:div w:id="494808025">
      <w:bodyDiv w:val="1"/>
      <w:marLeft w:val="0"/>
      <w:marRight w:val="0"/>
      <w:marTop w:val="0"/>
      <w:marBottom w:val="0"/>
      <w:divBdr>
        <w:top w:val="none" w:sz="0" w:space="0" w:color="auto"/>
        <w:left w:val="none" w:sz="0" w:space="0" w:color="auto"/>
        <w:bottom w:val="none" w:sz="0" w:space="0" w:color="auto"/>
        <w:right w:val="none" w:sz="0" w:space="0" w:color="auto"/>
      </w:divBdr>
    </w:div>
    <w:div w:id="505554860">
      <w:bodyDiv w:val="1"/>
      <w:marLeft w:val="0"/>
      <w:marRight w:val="0"/>
      <w:marTop w:val="0"/>
      <w:marBottom w:val="0"/>
      <w:divBdr>
        <w:top w:val="none" w:sz="0" w:space="0" w:color="auto"/>
        <w:left w:val="none" w:sz="0" w:space="0" w:color="auto"/>
        <w:bottom w:val="none" w:sz="0" w:space="0" w:color="auto"/>
        <w:right w:val="none" w:sz="0" w:space="0" w:color="auto"/>
      </w:divBdr>
    </w:div>
    <w:div w:id="510611374">
      <w:bodyDiv w:val="1"/>
      <w:marLeft w:val="0"/>
      <w:marRight w:val="0"/>
      <w:marTop w:val="0"/>
      <w:marBottom w:val="0"/>
      <w:divBdr>
        <w:top w:val="none" w:sz="0" w:space="0" w:color="auto"/>
        <w:left w:val="none" w:sz="0" w:space="0" w:color="auto"/>
        <w:bottom w:val="none" w:sz="0" w:space="0" w:color="auto"/>
        <w:right w:val="none" w:sz="0" w:space="0" w:color="auto"/>
      </w:divBdr>
    </w:div>
    <w:div w:id="513422188">
      <w:bodyDiv w:val="1"/>
      <w:marLeft w:val="0"/>
      <w:marRight w:val="0"/>
      <w:marTop w:val="0"/>
      <w:marBottom w:val="0"/>
      <w:divBdr>
        <w:top w:val="none" w:sz="0" w:space="0" w:color="auto"/>
        <w:left w:val="none" w:sz="0" w:space="0" w:color="auto"/>
        <w:bottom w:val="none" w:sz="0" w:space="0" w:color="auto"/>
        <w:right w:val="none" w:sz="0" w:space="0" w:color="auto"/>
      </w:divBdr>
    </w:div>
    <w:div w:id="528834845">
      <w:bodyDiv w:val="1"/>
      <w:marLeft w:val="0"/>
      <w:marRight w:val="0"/>
      <w:marTop w:val="0"/>
      <w:marBottom w:val="0"/>
      <w:divBdr>
        <w:top w:val="none" w:sz="0" w:space="0" w:color="auto"/>
        <w:left w:val="none" w:sz="0" w:space="0" w:color="auto"/>
        <w:bottom w:val="none" w:sz="0" w:space="0" w:color="auto"/>
        <w:right w:val="none" w:sz="0" w:space="0" w:color="auto"/>
      </w:divBdr>
      <w:divsChild>
        <w:div w:id="1023558885">
          <w:marLeft w:val="0"/>
          <w:marRight w:val="0"/>
          <w:marTop w:val="0"/>
          <w:marBottom w:val="0"/>
          <w:divBdr>
            <w:top w:val="none" w:sz="0" w:space="0" w:color="auto"/>
            <w:left w:val="none" w:sz="0" w:space="0" w:color="auto"/>
            <w:bottom w:val="none" w:sz="0" w:space="0" w:color="auto"/>
            <w:right w:val="none" w:sz="0" w:space="0" w:color="auto"/>
          </w:divBdr>
          <w:divsChild>
            <w:div w:id="81538143">
              <w:marLeft w:val="0"/>
              <w:marRight w:val="0"/>
              <w:marTop w:val="0"/>
              <w:marBottom w:val="0"/>
              <w:divBdr>
                <w:top w:val="none" w:sz="0" w:space="0" w:color="auto"/>
                <w:left w:val="none" w:sz="0" w:space="0" w:color="auto"/>
                <w:bottom w:val="none" w:sz="0" w:space="0" w:color="auto"/>
                <w:right w:val="none" w:sz="0" w:space="0" w:color="auto"/>
              </w:divBdr>
            </w:div>
            <w:div w:id="415441837">
              <w:marLeft w:val="0"/>
              <w:marRight w:val="0"/>
              <w:marTop w:val="0"/>
              <w:marBottom w:val="0"/>
              <w:divBdr>
                <w:top w:val="none" w:sz="0" w:space="0" w:color="auto"/>
                <w:left w:val="none" w:sz="0" w:space="0" w:color="auto"/>
                <w:bottom w:val="none" w:sz="0" w:space="0" w:color="auto"/>
                <w:right w:val="none" w:sz="0" w:space="0" w:color="auto"/>
              </w:divBdr>
            </w:div>
            <w:div w:id="679236593">
              <w:marLeft w:val="0"/>
              <w:marRight w:val="0"/>
              <w:marTop w:val="0"/>
              <w:marBottom w:val="0"/>
              <w:divBdr>
                <w:top w:val="none" w:sz="0" w:space="0" w:color="auto"/>
                <w:left w:val="none" w:sz="0" w:space="0" w:color="auto"/>
                <w:bottom w:val="none" w:sz="0" w:space="0" w:color="auto"/>
                <w:right w:val="none" w:sz="0" w:space="0" w:color="auto"/>
              </w:divBdr>
            </w:div>
            <w:div w:id="680663862">
              <w:marLeft w:val="0"/>
              <w:marRight w:val="0"/>
              <w:marTop w:val="0"/>
              <w:marBottom w:val="0"/>
              <w:divBdr>
                <w:top w:val="none" w:sz="0" w:space="0" w:color="auto"/>
                <w:left w:val="none" w:sz="0" w:space="0" w:color="auto"/>
                <w:bottom w:val="none" w:sz="0" w:space="0" w:color="auto"/>
                <w:right w:val="none" w:sz="0" w:space="0" w:color="auto"/>
              </w:divBdr>
            </w:div>
            <w:div w:id="800657492">
              <w:marLeft w:val="0"/>
              <w:marRight w:val="0"/>
              <w:marTop w:val="0"/>
              <w:marBottom w:val="0"/>
              <w:divBdr>
                <w:top w:val="none" w:sz="0" w:space="0" w:color="auto"/>
                <w:left w:val="none" w:sz="0" w:space="0" w:color="auto"/>
                <w:bottom w:val="none" w:sz="0" w:space="0" w:color="auto"/>
                <w:right w:val="none" w:sz="0" w:space="0" w:color="auto"/>
              </w:divBdr>
            </w:div>
            <w:div w:id="957758710">
              <w:marLeft w:val="0"/>
              <w:marRight w:val="0"/>
              <w:marTop w:val="0"/>
              <w:marBottom w:val="0"/>
              <w:divBdr>
                <w:top w:val="none" w:sz="0" w:space="0" w:color="auto"/>
                <w:left w:val="none" w:sz="0" w:space="0" w:color="auto"/>
                <w:bottom w:val="none" w:sz="0" w:space="0" w:color="auto"/>
                <w:right w:val="none" w:sz="0" w:space="0" w:color="auto"/>
              </w:divBdr>
            </w:div>
            <w:div w:id="971254223">
              <w:marLeft w:val="0"/>
              <w:marRight w:val="0"/>
              <w:marTop w:val="0"/>
              <w:marBottom w:val="0"/>
              <w:divBdr>
                <w:top w:val="none" w:sz="0" w:space="0" w:color="auto"/>
                <w:left w:val="none" w:sz="0" w:space="0" w:color="auto"/>
                <w:bottom w:val="none" w:sz="0" w:space="0" w:color="auto"/>
                <w:right w:val="none" w:sz="0" w:space="0" w:color="auto"/>
              </w:divBdr>
            </w:div>
            <w:div w:id="1060664826">
              <w:marLeft w:val="0"/>
              <w:marRight w:val="0"/>
              <w:marTop w:val="0"/>
              <w:marBottom w:val="0"/>
              <w:divBdr>
                <w:top w:val="none" w:sz="0" w:space="0" w:color="auto"/>
                <w:left w:val="none" w:sz="0" w:space="0" w:color="auto"/>
                <w:bottom w:val="none" w:sz="0" w:space="0" w:color="auto"/>
                <w:right w:val="none" w:sz="0" w:space="0" w:color="auto"/>
              </w:divBdr>
            </w:div>
            <w:div w:id="1135487287">
              <w:marLeft w:val="0"/>
              <w:marRight w:val="0"/>
              <w:marTop w:val="0"/>
              <w:marBottom w:val="0"/>
              <w:divBdr>
                <w:top w:val="none" w:sz="0" w:space="0" w:color="auto"/>
                <w:left w:val="none" w:sz="0" w:space="0" w:color="auto"/>
                <w:bottom w:val="none" w:sz="0" w:space="0" w:color="auto"/>
                <w:right w:val="none" w:sz="0" w:space="0" w:color="auto"/>
              </w:divBdr>
            </w:div>
            <w:div w:id="1187134839">
              <w:marLeft w:val="0"/>
              <w:marRight w:val="0"/>
              <w:marTop w:val="0"/>
              <w:marBottom w:val="0"/>
              <w:divBdr>
                <w:top w:val="none" w:sz="0" w:space="0" w:color="auto"/>
                <w:left w:val="none" w:sz="0" w:space="0" w:color="auto"/>
                <w:bottom w:val="none" w:sz="0" w:space="0" w:color="auto"/>
                <w:right w:val="none" w:sz="0" w:space="0" w:color="auto"/>
              </w:divBdr>
            </w:div>
            <w:div w:id="1710109367">
              <w:marLeft w:val="0"/>
              <w:marRight w:val="0"/>
              <w:marTop w:val="0"/>
              <w:marBottom w:val="0"/>
              <w:divBdr>
                <w:top w:val="none" w:sz="0" w:space="0" w:color="auto"/>
                <w:left w:val="none" w:sz="0" w:space="0" w:color="auto"/>
                <w:bottom w:val="none" w:sz="0" w:space="0" w:color="auto"/>
                <w:right w:val="none" w:sz="0" w:space="0" w:color="auto"/>
              </w:divBdr>
            </w:div>
            <w:div w:id="1960144398">
              <w:marLeft w:val="0"/>
              <w:marRight w:val="0"/>
              <w:marTop w:val="0"/>
              <w:marBottom w:val="0"/>
              <w:divBdr>
                <w:top w:val="none" w:sz="0" w:space="0" w:color="auto"/>
                <w:left w:val="none" w:sz="0" w:space="0" w:color="auto"/>
                <w:bottom w:val="none" w:sz="0" w:space="0" w:color="auto"/>
                <w:right w:val="none" w:sz="0" w:space="0" w:color="auto"/>
              </w:divBdr>
            </w:div>
            <w:div w:id="1984113511">
              <w:marLeft w:val="0"/>
              <w:marRight w:val="0"/>
              <w:marTop w:val="0"/>
              <w:marBottom w:val="0"/>
              <w:divBdr>
                <w:top w:val="none" w:sz="0" w:space="0" w:color="auto"/>
                <w:left w:val="none" w:sz="0" w:space="0" w:color="auto"/>
                <w:bottom w:val="none" w:sz="0" w:space="0" w:color="auto"/>
                <w:right w:val="none" w:sz="0" w:space="0" w:color="auto"/>
              </w:divBdr>
            </w:div>
            <w:div w:id="2114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2593">
      <w:bodyDiv w:val="1"/>
      <w:marLeft w:val="0"/>
      <w:marRight w:val="0"/>
      <w:marTop w:val="0"/>
      <w:marBottom w:val="0"/>
      <w:divBdr>
        <w:top w:val="none" w:sz="0" w:space="0" w:color="auto"/>
        <w:left w:val="none" w:sz="0" w:space="0" w:color="auto"/>
        <w:bottom w:val="none" w:sz="0" w:space="0" w:color="auto"/>
        <w:right w:val="none" w:sz="0" w:space="0" w:color="auto"/>
      </w:divBdr>
    </w:div>
    <w:div w:id="534587446">
      <w:bodyDiv w:val="1"/>
      <w:marLeft w:val="0"/>
      <w:marRight w:val="0"/>
      <w:marTop w:val="0"/>
      <w:marBottom w:val="0"/>
      <w:divBdr>
        <w:top w:val="none" w:sz="0" w:space="0" w:color="auto"/>
        <w:left w:val="none" w:sz="0" w:space="0" w:color="auto"/>
        <w:bottom w:val="none" w:sz="0" w:space="0" w:color="auto"/>
        <w:right w:val="none" w:sz="0" w:space="0" w:color="auto"/>
      </w:divBdr>
    </w:div>
    <w:div w:id="548691000">
      <w:bodyDiv w:val="1"/>
      <w:marLeft w:val="0"/>
      <w:marRight w:val="0"/>
      <w:marTop w:val="0"/>
      <w:marBottom w:val="0"/>
      <w:divBdr>
        <w:top w:val="none" w:sz="0" w:space="0" w:color="auto"/>
        <w:left w:val="none" w:sz="0" w:space="0" w:color="auto"/>
        <w:bottom w:val="none" w:sz="0" w:space="0" w:color="auto"/>
        <w:right w:val="none" w:sz="0" w:space="0" w:color="auto"/>
      </w:divBdr>
    </w:div>
    <w:div w:id="548803470">
      <w:bodyDiv w:val="1"/>
      <w:marLeft w:val="0"/>
      <w:marRight w:val="0"/>
      <w:marTop w:val="0"/>
      <w:marBottom w:val="0"/>
      <w:divBdr>
        <w:top w:val="none" w:sz="0" w:space="0" w:color="auto"/>
        <w:left w:val="none" w:sz="0" w:space="0" w:color="auto"/>
        <w:bottom w:val="none" w:sz="0" w:space="0" w:color="auto"/>
        <w:right w:val="none" w:sz="0" w:space="0" w:color="auto"/>
      </w:divBdr>
    </w:div>
    <w:div w:id="550658078">
      <w:bodyDiv w:val="1"/>
      <w:marLeft w:val="0"/>
      <w:marRight w:val="0"/>
      <w:marTop w:val="0"/>
      <w:marBottom w:val="0"/>
      <w:divBdr>
        <w:top w:val="none" w:sz="0" w:space="0" w:color="auto"/>
        <w:left w:val="none" w:sz="0" w:space="0" w:color="auto"/>
        <w:bottom w:val="none" w:sz="0" w:space="0" w:color="auto"/>
        <w:right w:val="none" w:sz="0" w:space="0" w:color="auto"/>
      </w:divBdr>
      <w:divsChild>
        <w:div w:id="102191787">
          <w:marLeft w:val="720"/>
          <w:marRight w:val="0"/>
          <w:marTop w:val="216"/>
          <w:marBottom w:val="0"/>
          <w:divBdr>
            <w:top w:val="none" w:sz="0" w:space="0" w:color="auto"/>
            <w:left w:val="none" w:sz="0" w:space="0" w:color="auto"/>
            <w:bottom w:val="none" w:sz="0" w:space="0" w:color="auto"/>
            <w:right w:val="none" w:sz="0" w:space="0" w:color="auto"/>
          </w:divBdr>
        </w:div>
        <w:div w:id="166406580">
          <w:marLeft w:val="0"/>
          <w:marRight w:val="0"/>
          <w:marTop w:val="216"/>
          <w:marBottom w:val="0"/>
          <w:divBdr>
            <w:top w:val="none" w:sz="0" w:space="0" w:color="auto"/>
            <w:left w:val="none" w:sz="0" w:space="0" w:color="auto"/>
            <w:bottom w:val="none" w:sz="0" w:space="0" w:color="auto"/>
            <w:right w:val="none" w:sz="0" w:space="0" w:color="auto"/>
          </w:divBdr>
        </w:div>
        <w:div w:id="224881940">
          <w:marLeft w:val="0"/>
          <w:marRight w:val="0"/>
          <w:marTop w:val="216"/>
          <w:marBottom w:val="0"/>
          <w:divBdr>
            <w:top w:val="none" w:sz="0" w:space="0" w:color="auto"/>
            <w:left w:val="none" w:sz="0" w:space="0" w:color="auto"/>
            <w:bottom w:val="none" w:sz="0" w:space="0" w:color="auto"/>
            <w:right w:val="none" w:sz="0" w:space="0" w:color="auto"/>
          </w:divBdr>
        </w:div>
        <w:div w:id="459304755">
          <w:marLeft w:val="0"/>
          <w:marRight w:val="0"/>
          <w:marTop w:val="216"/>
          <w:marBottom w:val="0"/>
          <w:divBdr>
            <w:top w:val="none" w:sz="0" w:space="0" w:color="auto"/>
            <w:left w:val="none" w:sz="0" w:space="0" w:color="auto"/>
            <w:bottom w:val="none" w:sz="0" w:space="0" w:color="auto"/>
            <w:right w:val="none" w:sz="0" w:space="0" w:color="auto"/>
          </w:divBdr>
        </w:div>
        <w:div w:id="709770144">
          <w:marLeft w:val="720"/>
          <w:marRight w:val="0"/>
          <w:marTop w:val="216"/>
          <w:marBottom w:val="0"/>
          <w:divBdr>
            <w:top w:val="none" w:sz="0" w:space="0" w:color="auto"/>
            <w:left w:val="none" w:sz="0" w:space="0" w:color="auto"/>
            <w:bottom w:val="none" w:sz="0" w:space="0" w:color="auto"/>
            <w:right w:val="none" w:sz="0" w:space="0" w:color="auto"/>
          </w:divBdr>
        </w:div>
        <w:div w:id="1031761321">
          <w:marLeft w:val="720"/>
          <w:marRight w:val="0"/>
          <w:marTop w:val="216"/>
          <w:marBottom w:val="0"/>
          <w:divBdr>
            <w:top w:val="none" w:sz="0" w:space="0" w:color="auto"/>
            <w:left w:val="none" w:sz="0" w:space="0" w:color="auto"/>
            <w:bottom w:val="none" w:sz="0" w:space="0" w:color="auto"/>
            <w:right w:val="none" w:sz="0" w:space="0" w:color="auto"/>
          </w:divBdr>
        </w:div>
        <w:div w:id="1676493260">
          <w:marLeft w:val="720"/>
          <w:marRight w:val="0"/>
          <w:marTop w:val="216"/>
          <w:marBottom w:val="0"/>
          <w:divBdr>
            <w:top w:val="none" w:sz="0" w:space="0" w:color="auto"/>
            <w:left w:val="none" w:sz="0" w:space="0" w:color="auto"/>
            <w:bottom w:val="none" w:sz="0" w:space="0" w:color="auto"/>
            <w:right w:val="none" w:sz="0" w:space="0" w:color="auto"/>
          </w:divBdr>
        </w:div>
      </w:divsChild>
    </w:div>
    <w:div w:id="554901284">
      <w:bodyDiv w:val="1"/>
      <w:marLeft w:val="0"/>
      <w:marRight w:val="0"/>
      <w:marTop w:val="0"/>
      <w:marBottom w:val="0"/>
      <w:divBdr>
        <w:top w:val="none" w:sz="0" w:space="0" w:color="auto"/>
        <w:left w:val="none" w:sz="0" w:space="0" w:color="auto"/>
        <w:bottom w:val="none" w:sz="0" w:space="0" w:color="auto"/>
        <w:right w:val="none" w:sz="0" w:space="0" w:color="auto"/>
      </w:divBdr>
    </w:div>
    <w:div w:id="567303994">
      <w:bodyDiv w:val="1"/>
      <w:marLeft w:val="0"/>
      <w:marRight w:val="0"/>
      <w:marTop w:val="0"/>
      <w:marBottom w:val="0"/>
      <w:divBdr>
        <w:top w:val="none" w:sz="0" w:space="0" w:color="auto"/>
        <w:left w:val="none" w:sz="0" w:space="0" w:color="auto"/>
        <w:bottom w:val="none" w:sz="0" w:space="0" w:color="auto"/>
        <w:right w:val="none" w:sz="0" w:space="0" w:color="auto"/>
      </w:divBdr>
    </w:div>
    <w:div w:id="577903023">
      <w:bodyDiv w:val="1"/>
      <w:marLeft w:val="0"/>
      <w:marRight w:val="0"/>
      <w:marTop w:val="0"/>
      <w:marBottom w:val="0"/>
      <w:divBdr>
        <w:top w:val="none" w:sz="0" w:space="0" w:color="auto"/>
        <w:left w:val="none" w:sz="0" w:space="0" w:color="auto"/>
        <w:bottom w:val="none" w:sz="0" w:space="0" w:color="auto"/>
        <w:right w:val="none" w:sz="0" w:space="0" w:color="auto"/>
      </w:divBdr>
    </w:div>
    <w:div w:id="600380406">
      <w:bodyDiv w:val="1"/>
      <w:marLeft w:val="0"/>
      <w:marRight w:val="0"/>
      <w:marTop w:val="0"/>
      <w:marBottom w:val="0"/>
      <w:divBdr>
        <w:top w:val="none" w:sz="0" w:space="0" w:color="auto"/>
        <w:left w:val="none" w:sz="0" w:space="0" w:color="auto"/>
        <w:bottom w:val="none" w:sz="0" w:space="0" w:color="auto"/>
        <w:right w:val="none" w:sz="0" w:space="0" w:color="auto"/>
      </w:divBdr>
    </w:div>
    <w:div w:id="619799468">
      <w:bodyDiv w:val="1"/>
      <w:marLeft w:val="0"/>
      <w:marRight w:val="0"/>
      <w:marTop w:val="0"/>
      <w:marBottom w:val="0"/>
      <w:divBdr>
        <w:top w:val="none" w:sz="0" w:space="0" w:color="auto"/>
        <w:left w:val="none" w:sz="0" w:space="0" w:color="auto"/>
        <w:bottom w:val="none" w:sz="0" w:space="0" w:color="auto"/>
        <w:right w:val="none" w:sz="0" w:space="0" w:color="auto"/>
      </w:divBdr>
    </w:div>
    <w:div w:id="621499856">
      <w:bodyDiv w:val="1"/>
      <w:marLeft w:val="0"/>
      <w:marRight w:val="0"/>
      <w:marTop w:val="0"/>
      <w:marBottom w:val="0"/>
      <w:divBdr>
        <w:top w:val="none" w:sz="0" w:space="0" w:color="auto"/>
        <w:left w:val="none" w:sz="0" w:space="0" w:color="auto"/>
        <w:bottom w:val="none" w:sz="0" w:space="0" w:color="auto"/>
        <w:right w:val="none" w:sz="0" w:space="0" w:color="auto"/>
      </w:divBdr>
    </w:div>
    <w:div w:id="622005449">
      <w:bodyDiv w:val="1"/>
      <w:marLeft w:val="0"/>
      <w:marRight w:val="0"/>
      <w:marTop w:val="0"/>
      <w:marBottom w:val="0"/>
      <w:divBdr>
        <w:top w:val="none" w:sz="0" w:space="0" w:color="auto"/>
        <w:left w:val="none" w:sz="0" w:space="0" w:color="auto"/>
        <w:bottom w:val="none" w:sz="0" w:space="0" w:color="auto"/>
        <w:right w:val="none" w:sz="0" w:space="0" w:color="auto"/>
      </w:divBdr>
    </w:div>
    <w:div w:id="651642752">
      <w:bodyDiv w:val="1"/>
      <w:marLeft w:val="0"/>
      <w:marRight w:val="0"/>
      <w:marTop w:val="0"/>
      <w:marBottom w:val="0"/>
      <w:divBdr>
        <w:top w:val="none" w:sz="0" w:space="0" w:color="auto"/>
        <w:left w:val="none" w:sz="0" w:space="0" w:color="auto"/>
        <w:bottom w:val="none" w:sz="0" w:space="0" w:color="auto"/>
        <w:right w:val="none" w:sz="0" w:space="0" w:color="auto"/>
      </w:divBdr>
    </w:div>
    <w:div w:id="651832773">
      <w:bodyDiv w:val="1"/>
      <w:marLeft w:val="0"/>
      <w:marRight w:val="0"/>
      <w:marTop w:val="0"/>
      <w:marBottom w:val="0"/>
      <w:divBdr>
        <w:top w:val="none" w:sz="0" w:space="0" w:color="auto"/>
        <w:left w:val="none" w:sz="0" w:space="0" w:color="auto"/>
        <w:bottom w:val="none" w:sz="0" w:space="0" w:color="auto"/>
        <w:right w:val="none" w:sz="0" w:space="0" w:color="auto"/>
      </w:divBdr>
    </w:div>
    <w:div w:id="666833205">
      <w:bodyDiv w:val="1"/>
      <w:marLeft w:val="0"/>
      <w:marRight w:val="0"/>
      <w:marTop w:val="0"/>
      <w:marBottom w:val="0"/>
      <w:divBdr>
        <w:top w:val="none" w:sz="0" w:space="0" w:color="auto"/>
        <w:left w:val="none" w:sz="0" w:space="0" w:color="auto"/>
        <w:bottom w:val="none" w:sz="0" w:space="0" w:color="auto"/>
        <w:right w:val="none" w:sz="0" w:space="0" w:color="auto"/>
      </w:divBdr>
    </w:div>
    <w:div w:id="666984542">
      <w:bodyDiv w:val="1"/>
      <w:marLeft w:val="0"/>
      <w:marRight w:val="0"/>
      <w:marTop w:val="0"/>
      <w:marBottom w:val="0"/>
      <w:divBdr>
        <w:top w:val="none" w:sz="0" w:space="0" w:color="auto"/>
        <w:left w:val="none" w:sz="0" w:space="0" w:color="auto"/>
        <w:bottom w:val="none" w:sz="0" w:space="0" w:color="auto"/>
        <w:right w:val="none" w:sz="0" w:space="0" w:color="auto"/>
      </w:divBdr>
    </w:div>
    <w:div w:id="670060297">
      <w:bodyDiv w:val="1"/>
      <w:marLeft w:val="0"/>
      <w:marRight w:val="0"/>
      <w:marTop w:val="0"/>
      <w:marBottom w:val="0"/>
      <w:divBdr>
        <w:top w:val="none" w:sz="0" w:space="0" w:color="auto"/>
        <w:left w:val="none" w:sz="0" w:space="0" w:color="auto"/>
        <w:bottom w:val="none" w:sz="0" w:space="0" w:color="auto"/>
        <w:right w:val="none" w:sz="0" w:space="0" w:color="auto"/>
      </w:divBdr>
    </w:div>
    <w:div w:id="671688725">
      <w:bodyDiv w:val="1"/>
      <w:marLeft w:val="0"/>
      <w:marRight w:val="0"/>
      <w:marTop w:val="0"/>
      <w:marBottom w:val="0"/>
      <w:divBdr>
        <w:top w:val="none" w:sz="0" w:space="0" w:color="auto"/>
        <w:left w:val="none" w:sz="0" w:space="0" w:color="auto"/>
        <w:bottom w:val="none" w:sz="0" w:space="0" w:color="auto"/>
        <w:right w:val="none" w:sz="0" w:space="0" w:color="auto"/>
      </w:divBdr>
    </w:div>
    <w:div w:id="677272080">
      <w:bodyDiv w:val="1"/>
      <w:marLeft w:val="0"/>
      <w:marRight w:val="0"/>
      <w:marTop w:val="0"/>
      <w:marBottom w:val="0"/>
      <w:divBdr>
        <w:top w:val="none" w:sz="0" w:space="0" w:color="auto"/>
        <w:left w:val="none" w:sz="0" w:space="0" w:color="auto"/>
        <w:bottom w:val="none" w:sz="0" w:space="0" w:color="auto"/>
        <w:right w:val="none" w:sz="0" w:space="0" w:color="auto"/>
      </w:divBdr>
    </w:div>
    <w:div w:id="691423456">
      <w:bodyDiv w:val="1"/>
      <w:marLeft w:val="0"/>
      <w:marRight w:val="0"/>
      <w:marTop w:val="0"/>
      <w:marBottom w:val="0"/>
      <w:divBdr>
        <w:top w:val="none" w:sz="0" w:space="0" w:color="auto"/>
        <w:left w:val="none" w:sz="0" w:space="0" w:color="auto"/>
        <w:bottom w:val="none" w:sz="0" w:space="0" w:color="auto"/>
        <w:right w:val="none" w:sz="0" w:space="0" w:color="auto"/>
      </w:divBdr>
    </w:div>
    <w:div w:id="701323911">
      <w:bodyDiv w:val="1"/>
      <w:marLeft w:val="0"/>
      <w:marRight w:val="0"/>
      <w:marTop w:val="0"/>
      <w:marBottom w:val="0"/>
      <w:divBdr>
        <w:top w:val="none" w:sz="0" w:space="0" w:color="auto"/>
        <w:left w:val="none" w:sz="0" w:space="0" w:color="auto"/>
        <w:bottom w:val="none" w:sz="0" w:space="0" w:color="auto"/>
        <w:right w:val="none" w:sz="0" w:space="0" w:color="auto"/>
      </w:divBdr>
    </w:div>
    <w:div w:id="735013656">
      <w:bodyDiv w:val="1"/>
      <w:marLeft w:val="0"/>
      <w:marRight w:val="0"/>
      <w:marTop w:val="0"/>
      <w:marBottom w:val="0"/>
      <w:divBdr>
        <w:top w:val="none" w:sz="0" w:space="0" w:color="auto"/>
        <w:left w:val="none" w:sz="0" w:space="0" w:color="auto"/>
        <w:bottom w:val="none" w:sz="0" w:space="0" w:color="auto"/>
        <w:right w:val="none" w:sz="0" w:space="0" w:color="auto"/>
      </w:divBdr>
    </w:div>
    <w:div w:id="737898818">
      <w:bodyDiv w:val="1"/>
      <w:marLeft w:val="0"/>
      <w:marRight w:val="0"/>
      <w:marTop w:val="0"/>
      <w:marBottom w:val="0"/>
      <w:divBdr>
        <w:top w:val="none" w:sz="0" w:space="0" w:color="auto"/>
        <w:left w:val="none" w:sz="0" w:space="0" w:color="auto"/>
        <w:bottom w:val="none" w:sz="0" w:space="0" w:color="auto"/>
        <w:right w:val="none" w:sz="0" w:space="0" w:color="auto"/>
      </w:divBdr>
      <w:divsChild>
        <w:div w:id="768623927">
          <w:marLeft w:val="0"/>
          <w:marRight w:val="0"/>
          <w:marTop w:val="0"/>
          <w:marBottom w:val="0"/>
          <w:divBdr>
            <w:top w:val="none" w:sz="0" w:space="0" w:color="auto"/>
            <w:left w:val="none" w:sz="0" w:space="0" w:color="auto"/>
            <w:bottom w:val="none" w:sz="0" w:space="0" w:color="auto"/>
            <w:right w:val="none" w:sz="0" w:space="0" w:color="auto"/>
          </w:divBdr>
          <w:divsChild>
            <w:div w:id="2025016313">
              <w:marLeft w:val="0"/>
              <w:marRight w:val="0"/>
              <w:marTop w:val="0"/>
              <w:marBottom w:val="0"/>
              <w:divBdr>
                <w:top w:val="none" w:sz="0" w:space="0" w:color="auto"/>
                <w:left w:val="none" w:sz="0" w:space="0" w:color="auto"/>
                <w:bottom w:val="none" w:sz="0" w:space="0" w:color="auto"/>
                <w:right w:val="none" w:sz="0" w:space="0" w:color="auto"/>
              </w:divBdr>
            </w:div>
          </w:divsChild>
        </w:div>
        <w:div w:id="1477449422">
          <w:marLeft w:val="0"/>
          <w:marRight w:val="0"/>
          <w:marTop w:val="0"/>
          <w:marBottom w:val="0"/>
          <w:divBdr>
            <w:top w:val="none" w:sz="0" w:space="0" w:color="auto"/>
            <w:left w:val="none" w:sz="0" w:space="0" w:color="auto"/>
            <w:bottom w:val="none" w:sz="0" w:space="0" w:color="auto"/>
            <w:right w:val="none" w:sz="0" w:space="0" w:color="auto"/>
          </w:divBdr>
          <w:divsChild>
            <w:div w:id="546457874">
              <w:marLeft w:val="0"/>
              <w:marRight w:val="0"/>
              <w:marTop w:val="0"/>
              <w:marBottom w:val="0"/>
              <w:divBdr>
                <w:top w:val="none" w:sz="0" w:space="0" w:color="auto"/>
                <w:left w:val="none" w:sz="0" w:space="0" w:color="auto"/>
                <w:bottom w:val="none" w:sz="0" w:space="0" w:color="auto"/>
                <w:right w:val="none" w:sz="0" w:space="0" w:color="auto"/>
              </w:divBdr>
              <w:divsChild>
                <w:div w:id="1755204854">
                  <w:marLeft w:val="0"/>
                  <w:marRight w:val="0"/>
                  <w:marTop w:val="0"/>
                  <w:marBottom w:val="0"/>
                  <w:divBdr>
                    <w:top w:val="none" w:sz="0" w:space="0" w:color="auto"/>
                    <w:left w:val="none" w:sz="0" w:space="0" w:color="auto"/>
                    <w:bottom w:val="none" w:sz="0" w:space="0" w:color="auto"/>
                    <w:right w:val="none" w:sz="0" w:space="0" w:color="auto"/>
                  </w:divBdr>
                  <w:divsChild>
                    <w:div w:id="17356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309">
          <w:marLeft w:val="0"/>
          <w:marRight w:val="0"/>
          <w:marTop w:val="0"/>
          <w:marBottom w:val="0"/>
          <w:divBdr>
            <w:top w:val="none" w:sz="0" w:space="0" w:color="auto"/>
            <w:left w:val="none" w:sz="0" w:space="0" w:color="auto"/>
            <w:bottom w:val="none" w:sz="0" w:space="0" w:color="auto"/>
            <w:right w:val="none" w:sz="0" w:space="0" w:color="auto"/>
          </w:divBdr>
          <w:divsChild>
            <w:div w:id="1688867164">
              <w:marLeft w:val="0"/>
              <w:marRight w:val="0"/>
              <w:marTop w:val="0"/>
              <w:marBottom w:val="0"/>
              <w:divBdr>
                <w:top w:val="none" w:sz="0" w:space="0" w:color="auto"/>
                <w:left w:val="none" w:sz="0" w:space="0" w:color="auto"/>
                <w:bottom w:val="none" w:sz="0" w:space="0" w:color="auto"/>
                <w:right w:val="none" w:sz="0" w:space="0" w:color="auto"/>
              </w:divBdr>
              <w:divsChild>
                <w:div w:id="495875690">
                  <w:marLeft w:val="0"/>
                  <w:marRight w:val="0"/>
                  <w:marTop w:val="0"/>
                  <w:marBottom w:val="0"/>
                  <w:divBdr>
                    <w:top w:val="none" w:sz="0" w:space="0" w:color="auto"/>
                    <w:left w:val="none" w:sz="0" w:space="0" w:color="auto"/>
                    <w:bottom w:val="none" w:sz="0" w:space="0" w:color="auto"/>
                    <w:right w:val="none" w:sz="0" w:space="0" w:color="auto"/>
                  </w:divBdr>
                  <w:divsChild>
                    <w:div w:id="442649002">
                      <w:marLeft w:val="0"/>
                      <w:marRight w:val="0"/>
                      <w:marTop w:val="0"/>
                      <w:marBottom w:val="0"/>
                      <w:divBdr>
                        <w:top w:val="none" w:sz="0" w:space="0" w:color="auto"/>
                        <w:left w:val="none" w:sz="0" w:space="0" w:color="auto"/>
                        <w:bottom w:val="none" w:sz="0" w:space="0" w:color="auto"/>
                        <w:right w:val="none" w:sz="0" w:space="0" w:color="auto"/>
                      </w:divBdr>
                      <w:divsChild>
                        <w:div w:id="2125928097">
                          <w:marLeft w:val="0"/>
                          <w:marRight w:val="0"/>
                          <w:marTop w:val="0"/>
                          <w:marBottom w:val="0"/>
                          <w:divBdr>
                            <w:top w:val="none" w:sz="0" w:space="0" w:color="auto"/>
                            <w:left w:val="none" w:sz="0" w:space="0" w:color="auto"/>
                            <w:bottom w:val="none" w:sz="0" w:space="0" w:color="auto"/>
                            <w:right w:val="none" w:sz="0" w:space="0" w:color="auto"/>
                          </w:divBdr>
                        </w:div>
                      </w:divsChild>
                    </w:div>
                    <w:div w:id="797262234">
                      <w:marLeft w:val="0"/>
                      <w:marRight w:val="0"/>
                      <w:marTop w:val="0"/>
                      <w:marBottom w:val="0"/>
                      <w:divBdr>
                        <w:top w:val="none" w:sz="0" w:space="0" w:color="auto"/>
                        <w:left w:val="none" w:sz="0" w:space="0" w:color="auto"/>
                        <w:bottom w:val="none" w:sz="0" w:space="0" w:color="auto"/>
                        <w:right w:val="none" w:sz="0" w:space="0" w:color="auto"/>
                      </w:divBdr>
                    </w:div>
                    <w:div w:id="1021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1257">
      <w:bodyDiv w:val="1"/>
      <w:marLeft w:val="0"/>
      <w:marRight w:val="0"/>
      <w:marTop w:val="0"/>
      <w:marBottom w:val="0"/>
      <w:divBdr>
        <w:top w:val="none" w:sz="0" w:space="0" w:color="auto"/>
        <w:left w:val="none" w:sz="0" w:space="0" w:color="auto"/>
        <w:bottom w:val="none" w:sz="0" w:space="0" w:color="auto"/>
        <w:right w:val="none" w:sz="0" w:space="0" w:color="auto"/>
      </w:divBdr>
    </w:div>
    <w:div w:id="786433514">
      <w:bodyDiv w:val="1"/>
      <w:marLeft w:val="0"/>
      <w:marRight w:val="0"/>
      <w:marTop w:val="0"/>
      <w:marBottom w:val="0"/>
      <w:divBdr>
        <w:top w:val="none" w:sz="0" w:space="0" w:color="auto"/>
        <w:left w:val="none" w:sz="0" w:space="0" w:color="auto"/>
        <w:bottom w:val="none" w:sz="0" w:space="0" w:color="auto"/>
        <w:right w:val="none" w:sz="0" w:space="0" w:color="auto"/>
      </w:divBdr>
    </w:div>
    <w:div w:id="800070877">
      <w:bodyDiv w:val="1"/>
      <w:marLeft w:val="0"/>
      <w:marRight w:val="0"/>
      <w:marTop w:val="0"/>
      <w:marBottom w:val="0"/>
      <w:divBdr>
        <w:top w:val="none" w:sz="0" w:space="0" w:color="auto"/>
        <w:left w:val="none" w:sz="0" w:space="0" w:color="auto"/>
        <w:bottom w:val="none" w:sz="0" w:space="0" w:color="auto"/>
        <w:right w:val="none" w:sz="0" w:space="0" w:color="auto"/>
      </w:divBdr>
    </w:div>
    <w:div w:id="803162063">
      <w:bodyDiv w:val="1"/>
      <w:marLeft w:val="0"/>
      <w:marRight w:val="0"/>
      <w:marTop w:val="0"/>
      <w:marBottom w:val="0"/>
      <w:divBdr>
        <w:top w:val="none" w:sz="0" w:space="0" w:color="auto"/>
        <w:left w:val="none" w:sz="0" w:space="0" w:color="auto"/>
        <w:bottom w:val="none" w:sz="0" w:space="0" w:color="auto"/>
        <w:right w:val="none" w:sz="0" w:space="0" w:color="auto"/>
      </w:divBdr>
    </w:div>
    <w:div w:id="809443605">
      <w:bodyDiv w:val="1"/>
      <w:marLeft w:val="0"/>
      <w:marRight w:val="0"/>
      <w:marTop w:val="0"/>
      <w:marBottom w:val="0"/>
      <w:divBdr>
        <w:top w:val="none" w:sz="0" w:space="0" w:color="auto"/>
        <w:left w:val="none" w:sz="0" w:space="0" w:color="auto"/>
        <w:bottom w:val="none" w:sz="0" w:space="0" w:color="auto"/>
        <w:right w:val="none" w:sz="0" w:space="0" w:color="auto"/>
      </w:divBdr>
    </w:div>
    <w:div w:id="812334900">
      <w:bodyDiv w:val="1"/>
      <w:marLeft w:val="0"/>
      <w:marRight w:val="0"/>
      <w:marTop w:val="0"/>
      <w:marBottom w:val="0"/>
      <w:divBdr>
        <w:top w:val="none" w:sz="0" w:space="0" w:color="auto"/>
        <w:left w:val="none" w:sz="0" w:space="0" w:color="auto"/>
        <w:bottom w:val="none" w:sz="0" w:space="0" w:color="auto"/>
        <w:right w:val="none" w:sz="0" w:space="0" w:color="auto"/>
      </w:divBdr>
    </w:div>
    <w:div w:id="812648397">
      <w:bodyDiv w:val="1"/>
      <w:marLeft w:val="0"/>
      <w:marRight w:val="0"/>
      <w:marTop w:val="0"/>
      <w:marBottom w:val="0"/>
      <w:divBdr>
        <w:top w:val="none" w:sz="0" w:space="0" w:color="auto"/>
        <w:left w:val="none" w:sz="0" w:space="0" w:color="auto"/>
        <w:bottom w:val="none" w:sz="0" w:space="0" w:color="auto"/>
        <w:right w:val="none" w:sz="0" w:space="0" w:color="auto"/>
      </w:divBdr>
    </w:div>
    <w:div w:id="823812289">
      <w:bodyDiv w:val="1"/>
      <w:marLeft w:val="0"/>
      <w:marRight w:val="0"/>
      <w:marTop w:val="0"/>
      <w:marBottom w:val="0"/>
      <w:divBdr>
        <w:top w:val="none" w:sz="0" w:space="0" w:color="auto"/>
        <w:left w:val="none" w:sz="0" w:space="0" w:color="auto"/>
        <w:bottom w:val="none" w:sz="0" w:space="0" w:color="auto"/>
        <w:right w:val="none" w:sz="0" w:space="0" w:color="auto"/>
      </w:divBdr>
    </w:div>
    <w:div w:id="841579815">
      <w:bodyDiv w:val="1"/>
      <w:marLeft w:val="0"/>
      <w:marRight w:val="0"/>
      <w:marTop w:val="0"/>
      <w:marBottom w:val="0"/>
      <w:divBdr>
        <w:top w:val="none" w:sz="0" w:space="0" w:color="auto"/>
        <w:left w:val="none" w:sz="0" w:space="0" w:color="auto"/>
        <w:bottom w:val="none" w:sz="0" w:space="0" w:color="auto"/>
        <w:right w:val="none" w:sz="0" w:space="0" w:color="auto"/>
      </w:divBdr>
    </w:div>
    <w:div w:id="846214302">
      <w:bodyDiv w:val="1"/>
      <w:marLeft w:val="0"/>
      <w:marRight w:val="0"/>
      <w:marTop w:val="0"/>
      <w:marBottom w:val="0"/>
      <w:divBdr>
        <w:top w:val="none" w:sz="0" w:space="0" w:color="auto"/>
        <w:left w:val="none" w:sz="0" w:space="0" w:color="auto"/>
        <w:bottom w:val="none" w:sz="0" w:space="0" w:color="auto"/>
        <w:right w:val="none" w:sz="0" w:space="0" w:color="auto"/>
      </w:divBdr>
    </w:div>
    <w:div w:id="881207687">
      <w:bodyDiv w:val="1"/>
      <w:marLeft w:val="0"/>
      <w:marRight w:val="0"/>
      <w:marTop w:val="0"/>
      <w:marBottom w:val="0"/>
      <w:divBdr>
        <w:top w:val="none" w:sz="0" w:space="0" w:color="auto"/>
        <w:left w:val="none" w:sz="0" w:space="0" w:color="auto"/>
        <w:bottom w:val="none" w:sz="0" w:space="0" w:color="auto"/>
        <w:right w:val="none" w:sz="0" w:space="0" w:color="auto"/>
      </w:divBdr>
    </w:div>
    <w:div w:id="882600413">
      <w:bodyDiv w:val="1"/>
      <w:marLeft w:val="0"/>
      <w:marRight w:val="0"/>
      <w:marTop w:val="0"/>
      <w:marBottom w:val="0"/>
      <w:divBdr>
        <w:top w:val="none" w:sz="0" w:space="0" w:color="auto"/>
        <w:left w:val="none" w:sz="0" w:space="0" w:color="auto"/>
        <w:bottom w:val="none" w:sz="0" w:space="0" w:color="auto"/>
        <w:right w:val="none" w:sz="0" w:space="0" w:color="auto"/>
      </w:divBdr>
    </w:div>
    <w:div w:id="885214426">
      <w:bodyDiv w:val="1"/>
      <w:marLeft w:val="0"/>
      <w:marRight w:val="0"/>
      <w:marTop w:val="0"/>
      <w:marBottom w:val="0"/>
      <w:divBdr>
        <w:top w:val="none" w:sz="0" w:space="0" w:color="auto"/>
        <w:left w:val="none" w:sz="0" w:space="0" w:color="auto"/>
        <w:bottom w:val="none" w:sz="0" w:space="0" w:color="auto"/>
        <w:right w:val="none" w:sz="0" w:space="0" w:color="auto"/>
      </w:divBdr>
    </w:div>
    <w:div w:id="890380220">
      <w:bodyDiv w:val="1"/>
      <w:marLeft w:val="0"/>
      <w:marRight w:val="0"/>
      <w:marTop w:val="0"/>
      <w:marBottom w:val="0"/>
      <w:divBdr>
        <w:top w:val="none" w:sz="0" w:space="0" w:color="auto"/>
        <w:left w:val="none" w:sz="0" w:space="0" w:color="auto"/>
        <w:bottom w:val="none" w:sz="0" w:space="0" w:color="auto"/>
        <w:right w:val="none" w:sz="0" w:space="0" w:color="auto"/>
      </w:divBdr>
    </w:div>
    <w:div w:id="901061387">
      <w:bodyDiv w:val="1"/>
      <w:marLeft w:val="0"/>
      <w:marRight w:val="0"/>
      <w:marTop w:val="0"/>
      <w:marBottom w:val="0"/>
      <w:divBdr>
        <w:top w:val="none" w:sz="0" w:space="0" w:color="auto"/>
        <w:left w:val="none" w:sz="0" w:space="0" w:color="auto"/>
        <w:bottom w:val="none" w:sz="0" w:space="0" w:color="auto"/>
        <w:right w:val="none" w:sz="0" w:space="0" w:color="auto"/>
      </w:divBdr>
    </w:div>
    <w:div w:id="907570108">
      <w:bodyDiv w:val="1"/>
      <w:marLeft w:val="0"/>
      <w:marRight w:val="0"/>
      <w:marTop w:val="0"/>
      <w:marBottom w:val="0"/>
      <w:divBdr>
        <w:top w:val="none" w:sz="0" w:space="0" w:color="auto"/>
        <w:left w:val="none" w:sz="0" w:space="0" w:color="auto"/>
        <w:bottom w:val="none" w:sz="0" w:space="0" w:color="auto"/>
        <w:right w:val="none" w:sz="0" w:space="0" w:color="auto"/>
      </w:divBdr>
    </w:div>
    <w:div w:id="908733252">
      <w:bodyDiv w:val="1"/>
      <w:marLeft w:val="0"/>
      <w:marRight w:val="0"/>
      <w:marTop w:val="0"/>
      <w:marBottom w:val="0"/>
      <w:divBdr>
        <w:top w:val="none" w:sz="0" w:space="0" w:color="auto"/>
        <w:left w:val="none" w:sz="0" w:space="0" w:color="auto"/>
        <w:bottom w:val="none" w:sz="0" w:space="0" w:color="auto"/>
        <w:right w:val="none" w:sz="0" w:space="0" w:color="auto"/>
      </w:divBdr>
    </w:div>
    <w:div w:id="921721989">
      <w:bodyDiv w:val="1"/>
      <w:marLeft w:val="0"/>
      <w:marRight w:val="0"/>
      <w:marTop w:val="0"/>
      <w:marBottom w:val="0"/>
      <w:divBdr>
        <w:top w:val="none" w:sz="0" w:space="0" w:color="auto"/>
        <w:left w:val="none" w:sz="0" w:space="0" w:color="auto"/>
        <w:bottom w:val="none" w:sz="0" w:space="0" w:color="auto"/>
        <w:right w:val="none" w:sz="0" w:space="0" w:color="auto"/>
      </w:divBdr>
    </w:div>
    <w:div w:id="923613851">
      <w:bodyDiv w:val="1"/>
      <w:marLeft w:val="0"/>
      <w:marRight w:val="0"/>
      <w:marTop w:val="0"/>
      <w:marBottom w:val="0"/>
      <w:divBdr>
        <w:top w:val="none" w:sz="0" w:space="0" w:color="auto"/>
        <w:left w:val="none" w:sz="0" w:space="0" w:color="auto"/>
        <w:bottom w:val="none" w:sz="0" w:space="0" w:color="auto"/>
        <w:right w:val="none" w:sz="0" w:space="0" w:color="auto"/>
      </w:divBdr>
    </w:div>
    <w:div w:id="925960283">
      <w:bodyDiv w:val="1"/>
      <w:marLeft w:val="0"/>
      <w:marRight w:val="0"/>
      <w:marTop w:val="0"/>
      <w:marBottom w:val="0"/>
      <w:divBdr>
        <w:top w:val="none" w:sz="0" w:space="0" w:color="auto"/>
        <w:left w:val="none" w:sz="0" w:space="0" w:color="auto"/>
        <w:bottom w:val="none" w:sz="0" w:space="0" w:color="auto"/>
        <w:right w:val="none" w:sz="0" w:space="0" w:color="auto"/>
      </w:divBdr>
    </w:div>
    <w:div w:id="968780586">
      <w:bodyDiv w:val="1"/>
      <w:marLeft w:val="0"/>
      <w:marRight w:val="0"/>
      <w:marTop w:val="0"/>
      <w:marBottom w:val="0"/>
      <w:divBdr>
        <w:top w:val="none" w:sz="0" w:space="0" w:color="auto"/>
        <w:left w:val="none" w:sz="0" w:space="0" w:color="auto"/>
        <w:bottom w:val="none" w:sz="0" w:space="0" w:color="auto"/>
        <w:right w:val="none" w:sz="0" w:space="0" w:color="auto"/>
      </w:divBdr>
    </w:div>
    <w:div w:id="969559227">
      <w:bodyDiv w:val="1"/>
      <w:marLeft w:val="0"/>
      <w:marRight w:val="0"/>
      <w:marTop w:val="0"/>
      <w:marBottom w:val="0"/>
      <w:divBdr>
        <w:top w:val="none" w:sz="0" w:space="0" w:color="auto"/>
        <w:left w:val="none" w:sz="0" w:space="0" w:color="auto"/>
        <w:bottom w:val="none" w:sz="0" w:space="0" w:color="auto"/>
        <w:right w:val="none" w:sz="0" w:space="0" w:color="auto"/>
      </w:divBdr>
    </w:div>
    <w:div w:id="977035329">
      <w:bodyDiv w:val="1"/>
      <w:marLeft w:val="0"/>
      <w:marRight w:val="0"/>
      <w:marTop w:val="0"/>
      <w:marBottom w:val="0"/>
      <w:divBdr>
        <w:top w:val="none" w:sz="0" w:space="0" w:color="auto"/>
        <w:left w:val="none" w:sz="0" w:space="0" w:color="auto"/>
        <w:bottom w:val="none" w:sz="0" w:space="0" w:color="auto"/>
        <w:right w:val="none" w:sz="0" w:space="0" w:color="auto"/>
      </w:divBdr>
    </w:div>
    <w:div w:id="980501748">
      <w:bodyDiv w:val="1"/>
      <w:marLeft w:val="0"/>
      <w:marRight w:val="0"/>
      <w:marTop w:val="0"/>
      <w:marBottom w:val="0"/>
      <w:divBdr>
        <w:top w:val="none" w:sz="0" w:space="0" w:color="auto"/>
        <w:left w:val="none" w:sz="0" w:space="0" w:color="auto"/>
        <w:bottom w:val="none" w:sz="0" w:space="0" w:color="auto"/>
        <w:right w:val="none" w:sz="0" w:space="0" w:color="auto"/>
      </w:divBdr>
    </w:div>
    <w:div w:id="996615312">
      <w:bodyDiv w:val="1"/>
      <w:marLeft w:val="0"/>
      <w:marRight w:val="0"/>
      <w:marTop w:val="0"/>
      <w:marBottom w:val="0"/>
      <w:divBdr>
        <w:top w:val="none" w:sz="0" w:space="0" w:color="auto"/>
        <w:left w:val="none" w:sz="0" w:space="0" w:color="auto"/>
        <w:bottom w:val="none" w:sz="0" w:space="0" w:color="auto"/>
        <w:right w:val="none" w:sz="0" w:space="0" w:color="auto"/>
      </w:divBdr>
    </w:div>
    <w:div w:id="1013796860">
      <w:bodyDiv w:val="1"/>
      <w:marLeft w:val="0"/>
      <w:marRight w:val="0"/>
      <w:marTop w:val="0"/>
      <w:marBottom w:val="0"/>
      <w:divBdr>
        <w:top w:val="none" w:sz="0" w:space="0" w:color="auto"/>
        <w:left w:val="none" w:sz="0" w:space="0" w:color="auto"/>
        <w:bottom w:val="none" w:sz="0" w:space="0" w:color="auto"/>
        <w:right w:val="none" w:sz="0" w:space="0" w:color="auto"/>
      </w:divBdr>
    </w:div>
    <w:div w:id="1026756995">
      <w:bodyDiv w:val="1"/>
      <w:marLeft w:val="0"/>
      <w:marRight w:val="0"/>
      <w:marTop w:val="0"/>
      <w:marBottom w:val="0"/>
      <w:divBdr>
        <w:top w:val="none" w:sz="0" w:space="0" w:color="auto"/>
        <w:left w:val="none" w:sz="0" w:space="0" w:color="auto"/>
        <w:bottom w:val="none" w:sz="0" w:space="0" w:color="auto"/>
        <w:right w:val="none" w:sz="0" w:space="0" w:color="auto"/>
      </w:divBdr>
    </w:div>
    <w:div w:id="1038705556">
      <w:bodyDiv w:val="1"/>
      <w:marLeft w:val="0"/>
      <w:marRight w:val="0"/>
      <w:marTop w:val="0"/>
      <w:marBottom w:val="0"/>
      <w:divBdr>
        <w:top w:val="none" w:sz="0" w:space="0" w:color="auto"/>
        <w:left w:val="none" w:sz="0" w:space="0" w:color="auto"/>
        <w:bottom w:val="none" w:sz="0" w:space="0" w:color="auto"/>
        <w:right w:val="none" w:sz="0" w:space="0" w:color="auto"/>
      </w:divBdr>
    </w:div>
    <w:div w:id="1052538635">
      <w:bodyDiv w:val="1"/>
      <w:marLeft w:val="0"/>
      <w:marRight w:val="0"/>
      <w:marTop w:val="0"/>
      <w:marBottom w:val="0"/>
      <w:divBdr>
        <w:top w:val="none" w:sz="0" w:space="0" w:color="auto"/>
        <w:left w:val="none" w:sz="0" w:space="0" w:color="auto"/>
        <w:bottom w:val="none" w:sz="0" w:space="0" w:color="auto"/>
        <w:right w:val="none" w:sz="0" w:space="0" w:color="auto"/>
      </w:divBdr>
    </w:div>
    <w:div w:id="1055354896">
      <w:bodyDiv w:val="1"/>
      <w:marLeft w:val="0"/>
      <w:marRight w:val="0"/>
      <w:marTop w:val="0"/>
      <w:marBottom w:val="0"/>
      <w:divBdr>
        <w:top w:val="none" w:sz="0" w:space="0" w:color="auto"/>
        <w:left w:val="none" w:sz="0" w:space="0" w:color="auto"/>
        <w:bottom w:val="none" w:sz="0" w:space="0" w:color="auto"/>
        <w:right w:val="none" w:sz="0" w:space="0" w:color="auto"/>
      </w:divBdr>
    </w:div>
    <w:div w:id="1064447743">
      <w:bodyDiv w:val="1"/>
      <w:marLeft w:val="0"/>
      <w:marRight w:val="0"/>
      <w:marTop w:val="0"/>
      <w:marBottom w:val="0"/>
      <w:divBdr>
        <w:top w:val="none" w:sz="0" w:space="0" w:color="auto"/>
        <w:left w:val="none" w:sz="0" w:space="0" w:color="auto"/>
        <w:bottom w:val="none" w:sz="0" w:space="0" w:color="auto"/>
        <w:right w:val="none" w:sz="0" w:space="0" w:color="auto"/>
      </w:divBdr>
    </w:div>
    <w:div w:id="1066223701">
      <w:bodyDiv w:val="1"/>
      <w:marLeft w:val="0"/>
      <w:marRight w:val="0"/>
      <w:marTop w:val="0"/>
      <w:marBottom w:val="0"/>
      <w:divBdr>
        <w:top w:val="none" w:sz="0" w:space="0" w:color="auto"/>
        <w:left w:val="none" w:sz="0" w:space="0" w:color="auto"/>
        <w:bottom w:val="none" w:sz="0" w:space="0" w:color="auto"/>
        <w:right w:val="none" w:sz="0" w:space="0" w:color="auto"/>
      </w:divBdr>
    </w:div>
    <w:div w:id="1070422703">
      <w:bodyDiv w:val="1"/>
      <w:marLeft w:val="0"/>
      <w:marRight w:val="0"/>
      <w:marTop w:val="0"/>
      <w:marBottom w:val="0"/>
      <w:divBdr>
        <w:top w:val="none" w:sz="0" w:space="0" w:color="auto"/>
        <w:left w:val="none" w:sz="0" w:space="0" w:color="auto"/>
        <w:bottom w:val="none" w:sz="0" w:space="0" w:color="auto"/>
        <w:right w:val="none" w:sz="0" w:space="0" w:color="auto"/>
      </w:divBdr>
    </w:div>
    <w:div w:id="1083990560">
      <w:bodyDiv w:val="1"/>
      <w:marLeft w:val="0"/>
      <w:marRight w:val="0"/>
      <w:marTop w:val="0"/>
      <w:marBottom w:val="0"/>
      <w:divBdr>
        <w:top w:val="none" w:sz="0" w:space="0" w:color="auto"/>
        <w:left w:val="none" w:sz="0" w:space="0" w:color="auto"/>
        <w:bottom w:val="none" w:sz="0" w:space="0" w:color="auto"/>
        <w:right w:val="none" w:sz="0" w:space="0" w:color="auto"/>
      </w:divBdr>
    </w:div>
    <w:div w:id="1093629720">
      <w:bodyDiv w:val="1"/>
      <w:marLeft w:val="0"/>
      <w:marRight w:val="0"/>
      <w:marTop w:val="0"/>
      <w:marBottom w:val="0"/>
      <w:divBdr>
        <w:top w:val="none" w:sz="0" w:space="0" w:color="auto"/>
        <w:left w:val="none" w:sz="0" w:space="0" w:color="auto"/>
        <w:bottom w:val="none" w:sz="0" w:space="0" w:color="auto"/>
        <w:right w:val="none" w:sz="0" w:space="0" w:color="auto"/>
      </w:divBdr>
    </w:div>
    <w:div w:id="1107432653">
      <w:bodyDiv w:val="1"/>
      <w:marLeft w:val="0"/>
      <w:marRight w:val="0"/>
      <w:marTop w:val="0"/>
      <w:marBottom w:val="0"/>
      <w:divBdr>
        <w:top w:val="none" w:sz="0" w:space="0" w:color="auto"/>
        <w:left w:val="none" w:sz="0" w:space="0" w:color="auto"/>
        <w:bottom w:val="none" w:sz="0" w:space="0" w:color="auto"/>
        <w:right w:val="none" w:sz="0" w:space="0" w:color="auto"/>
      </w:divBdr>
    </w:div>
    <w:div w:id="1110510532">
      <w:bodyDiv w:val="1"/>
      <w:marLeft w:val="0"/>
      <w:marRight w:val="0"/>
      <w:marTop w:val="0"/>
      <w:marBottom w:val="0"/>
      <w:divBdr>
        <w:top w:val="none" w:sz="0" w:space="0" w:color="auto"/>
        <w:left w:val="none" w:sz="0" w:space="0" w:color="auto"/>
        <w:bottom w:val="none" w:sz="0" w:space="0" w:color="auto"/>
        <w:right w:val="none" w:sz="0" w:space="0" w:color="auto"/>
      </w:divBdr>
    </w:div>
    <w:div w:id="1118834029">
      <w:bodyDiv w:val="1"/>
      <w:marLeft w:val="0"/>
      <w:marRight w:val="0"/>
      <w:marTop w:val="0"/>
      <w:marBottom w:val="0"/>
      <w:divBdr>
        <w:top w:val="none" w:sz="0" w:space="0" w:color="auto"/>
        <w:left w:val="none" w:sz="0" w:space="0" w:color="auto"/>
        <w:bottom w:val="none" w:sz="0" w:space="0" w:color="auto"/>
        <w:right w:val="none" w:sz="0" w:space="0" w:color="auto"/>
      </w:divBdr>
    </w:div>
    <w:div w:id="1124615543">
      <w:bodyDiv w:val="1"/>
      <w:marLeft w:val="0"/>
      <w:marRight w:val="0"/>
      <w:marTop w:val="0"/>
      <w:marBottom w:val="0"/>
      <w:divBdr>
        <w:top w:val="none" w:sz="0" w:space="0" w:color="auto"/>
        <w:left w:val="none" w:sz="0" w:space="0" w:color="auto"/>
        <w:bottom w:val="none" w:sz="0" w:space="0" w:color="auto"/>
        <w:right w:val="none" w:sz="0" w:space="0" w:color="auto"/>
      </w:divBdr>
    </w:div>
    <w:div w:id="1125581249">
      <w:bodyDiv w:val="1"/>
      <w:marLeft w:val="0"/>
      <w:marRight w:val="0"/>
      <w:marTop w:val="0"/>
      <w:marBottom w:val="0"/>
      <w:divBdr>
        <w:top w:val="none" w:sz="0" w:space="0" w:color="auto"/>
        <w:left w:val="none" w:sz="0" w:space="0" w:color="auto"/>
        <w:bottom w:val="none" w:sz="0" w:space="0" w:color="auto"/>
        <w:right w:val="none" w:sz="0" w:space="0" w:color="auto"/>
      </w:divBdr>
    </w:div>
    <w:div w:id="1141115312">
      <w:bodyDiv w:val="1"/>
      <w:marLeft w:val="0"/>
      <w:marRight w:val="0"/>
      <w:marTop w:val="0"/>
      <w:marBottom w:val="0"/>
      <w:divBdr>
        <w:top w:val="none" w:sz="0" w:space="0" w:color="auto"/>
        <w:left w:val="none" w:sz="0" w:space="0" w:color="auto"/>
        <w:bottom w:val="none" w:sz="0" w:space="0" w:color="auto"/>
        <w:right w:val="none" w:sz="0" w:space="0" w:color="auto"/>
      </w:divBdr>
    </w:div>
    <w:div w:id="1143078966">
      <w:bodyDiv w:val="1"/>
      <w:marLeft w:val="0"/>
      <w:marRight w:val="0"/>
      <w:marTop w:val="0"/>
      <w:marBottom w:val="0"/>
      <w:divBdr>
        <w:top w:val="none" w:sz="0" w:space="0" w:color="auto"/>
        <w:left w:val="none" w:sz="0" w:space="0" w:color="auto"/>
        <w:bottom w:val="none" w:sz="0" w:space="0" w:color="auto"/>
        <w:right w:val="none" w:sz="0" w:space="0" w:color="auto"/>
      </w:divBdr>
    </w:div>
    <w:div w:id="1143429839">
      <w:bodyDiv w:val="1"/>
      <w:marLeft w:val="0"/>
      <w:marRight w:val="0"/>
      <w:marTop w:val="0"/>
      <w:marBottom w:val="0"/>
      <w:divBdr>
        <w:top w:val="none" w:sz="0" w:space="0" w:color="auto"/>
        <w:left w:val="none" w:sz="0" w:space="0" w:color="auto"/>
        <w:bottom w:val="none" w:sz="0" w:space="0" w:color="auto"/>
        <w:right w:val="none" w:sz="0" w:space="0" w:color="auto"/>
      </w:divBdr>
    </w:div>
    <w:div w:id="1154417027">
      <w:bodyDiv w:val="1"/>
      <w:marLeft w:val="0"/>
      <w:marRight w:val="0"/>
      <w:marTop w:val="0"/>
      <w:marBottom w:val="0"/>
      <w:divBdr>
        <w:top w:val="none" w:sz="0" w:space="0" w:color="auto"/>
        <w:left w:val="none" w:sz="0" w:space="0" w:color="auto"/>
        <w:bottom w:val="none" w:sz="0" w:space="0" w:color="auto"/>
        <w:right w:val="none" w:sz="0" w:space="0" w:color="auto"/>
      </w:divBdr>
    </w:div>
    <w:div w:id="1157111462">
      <w:bodyDiv w:val="1"/>
      <w:marLeft w:val="0"/>
      <w:marRight w:val="0"/>
      <w:marTop w:val="0"/>
      <w:marBottom w:val="0"/>
      <w:divBdr>
        <w:top w:val="none" w:sz="0" w:space="0" w:color="auto"/>
        <w:left w:val="none" w:sz="0" w:space="0" w:color="auto"/>
        <w:bottom w:val="none" w:sz="0" w:space="0" w:color="auto"/>
        <w:right w:val="none" w:sz="0" w:space="0" w:color="auto"/>
      </w:divBdr>
    </w:div>
    <w:div w:id="1160462793">
      <w:bodyDiv w:val="1"/>
      <w:marLeft w:val="0"/>
      <w:marRight w:val="0"/>
      <w:marTop w:val="0"/>
      <w:marBottom w:val="0"/>
      <w:divBdr>
        <w:top w:val="none" w:sz="0" w:space="0" w:color="auto"/>
        <w:left w:val="none" w:sz="0" w:space="0" w:color="auto"/>
        <w:bottom w:val="none" w:sz="0" w:space="0" w:color="auto"/>
        <w:right w:val="none" w:sz="0" w:space="0" w:color="auto"/>
      </w:divBdr>
    </w:div>
    <w:div w:id="1164928284">
      <w:bodyDiv w:val="1"/>
      <w:marLeft w:val="0"/>
      <w:marRight w:val="0"/>
      <w:marTop w:val="0"/>
      <w:marBottom w:val="0"/>
      <w:divBdr>
        <w:top w:val="none" w:sz="0" w:space="0" w:color="auto"/>
        <w:left w:val="none" w:sz="0" w:space="0" w:color="auto"/>
        <w:bottom w:val="none" w:sz="0" w:space="0" w:color="auto"/>
        <w:right w:val="none" w:sz="0" w:space="0" w:color="auto"/>
      </w:divBdr>
    </w:div>
    <w:div w:id="1187214066">
      <w:bodyDiv w:val="1"/>
      <w:marLeft w:val="0"/>
      <w:marRight w:val="0"/>
      <w:marTop w:val="0"/>
      <w:marBottom w:val="0"/>
      <w:divBdr>
        <w:top w:val="none" w:sz="0" w:space="0" w:color="auto"/>
        <w:left w:val="none" w:sz="0" w:space="0" w:color="auto"/>
        <w:bottom w:val="none" w:sz="0" w:space="0" w:color="auto"/>
        <w:right w:val="none" w:sz="0" w:space="0" w:color="auto"/>
      </w:divBdr>
    </w:div>
    <w:div w:id="1192230973">
      <w:bodyDiv w:val="1"/>
      <w:marLeft w:val="0"/>
      <w:marRight w:val="0"/>
      <w:marTop w:val="0"/>
      <w:marBottom w:val="0"/>
      <w:divBdr>
        <w:top w:val="none" w:sz="0" w:space="0" w:color="auto"/>
        <w:left w:val="none" w:sz="0" w:space="0" w:color="auto"/>
        <w:bottom w:val="none" w:sz="0" w:space="0" w:color="auto"/>
        <w:right w:val="none" w:sz="0" w:space="0" w:color="auto"/>
      </w:divBdr>
    </w:div>
    <w:div w:id="1193807550">
      <w:bodyDiv w:val="1"/>
      <w:marLeft w:val="0"/>
      <w:marRight w:val="0"/>
      <w:marTop w:val="0"/>
      <w:marBottom w:val="0"/>
      <w:divBdr>
        <w:top w:val="none" w:sz="0" w:space="0" w:color="auto"/>
        <w:left w:val="none" w:sz="0" w:space="0" w:color="auto"/>
        <w:bottom w:val="none" w:sz="0" w:space="0" w:color="auto"/>
        <w:right w:val="none" w:sz="0" w:space="0" w:color="auto"/>
      </w:divBdr>
    </w:div>
    <w:div w:id="1221866135">
      <w:bodyDiv w:val="1"/>
      <w:marLeft w:val="0"/>
      <w:marRight w:val="0"/>
      <w:marTop w:val="0"/>
      <w:marBottom w:val="0"/>
      <w:divBdr>
        <w:top w:val="none" w:sz="0" w:space="0" w:color="auto"/>
        <w:left w:val="none" w:sz="0" w:space="0" w:color="auto"/>
        <w:bottom w:val="none" w:sz="0" w:space="0" w:color="auto"/>
        <w:right w:val="none" w:sz="0" w:space="0" w:color="auto"/>
      </w:divBdr>
    </w:div>
    <w:div w:id="1232546072">
      <w:bodyDiv w:val="1"/>
      <w:marLeft w:val="0"/>
      <w:marRight w:val="0"/>
      <w:marTop w:val="0"/>
      <w:marBottom w:val="0"/>
      <w:divBdr>
        <w:top w:val="none" w:sz="0" w:space="0" w:color="auto"/>
        <w:left w:val="none" w:sz="0" w:space="0" w:color="auto"/>
        <w:bottom w:val="none" w:sz="0" w:space="0" w:color="auto"/>
        <w:right w:val="none" w:sz="0" w:space="0" w:color="auto"/>
      </w:divBdr>
    </w:div>
    <w:div w:id="1249774005">
      <w:bodyDiv w:val="1"/>
      <w:marLeft w:val="0"/>
      <w:marRight w:val="0"/>
      <w:marTop w:val="0"/>
      <w:marBottom w:val="0"/>
      <w:divBdr>
        <w:top w:val="none" w:sz="0" w:space="0" w:color="auto"/>
        <w:left w:val="none" w:sz="0" w:space="0" w:color="auto"/>
        <w:bottom w:val="none" w:sz="0" w:space="0" w:color="auto"/>
        <w:right w:val="none" w:sz="0" w:space="0" w:color="auto"/>
      </w:divBdr>
    </w:div>
    <w:div w:id="1266378187">
      <w:bodyDiv w:val="1"/>
      <w:marLeft w:val="0"/>
      <w:marRight w:val="0"/>
      <w:marTop w:val="0"/>
      <w:marBottom w:val="0"/>
      <w:divBdr>
        <w:top w:val="none" w:sz="0" w:space="0" w:color="auto"/>
        <w:left w:val="none" w:sz="0" w:space="0" w:color="auto"/>
        <w:bottom w:val="none" w:sz="0" w:space="0" w:color="auto"/>
        <w:right w:val="none" w:sz="0" w:space="0" w:color="auto"/>
      </w:divBdr>
    </w:div>
    <w:div w:id="1268192221">
      <w:bodyDiv w:val="1"/>
      <w:marLeft w:val="0"/>
      <w:marRight w:val="0"/>
      <w:marTop w:val="0"/>
      <w:marBottom w:val="0"/>
      <w:divBdr>
        <w:top w:val="none" w:sz="0" w:space="0" w:color="auto"/>
        <w:left w:val="none" w:sz="0" w:space="0" w:color="auto"/>
        <w:bottom w:val="none" w:sz="0" w:space="0" w:color="auto"/>
        <w:right w:val="none" w:sz="0" w:space="0" w:color="auto"/>
      </w:divBdr>
    </w:div>
    <w:div w:id="1291328919">
      <w:bodyDiv w:val="1"/>
      <w:marLeft w:val="0"/>
      <w:marRight w:val="0"/>
      <w:marTop w:val="0"/>
      <w:marBottom w:val="0"/>
      <w:divBdr>
        <w:top w:val="none" w:sz="0" w:space="0" w:color="auto"/>
        <w:left w:val="none" w:sz="0" w:space="0" w:color="auto"/>
        <w:bottom w:val="none" w:sz="0" w:space="0" w:color="auto"/>
        <w:right w:val="none" w:sz="0" w:space="0" w:color="auto"/>
      </w:divBdr>
      <w:divsChild>
        <w:div w:id="2436189">
          <w:marLeft w:val="720"/>
          <w:marRight w:val="0"/>
          <w:marTop w:val="192"/>
          <w:marBottom w:val="0"/>
          <w:divBdr>
            <w:top w:val="none" w:sz="0" w:space="0" w:color="auto"/>
            <w:left w:val="none" w:sz="0" w:space="0" w:color="auto"/>
            <w:bottom w:val="none" w:sz="0" w:space="0" w:color="auto"/>
            <w:right w:val="none" w:sz="0" w:space="0" w:color="auto"/>
          </w:divBdr>
        </w:div>
        <w:div w:id="101069766">
          <w:marLeft w:val="0"/>
          <w:marRight w:val="0"/>
          <w:marTop w:val="216"/>
          <w:marBottom w:val="0"/>
          <w:divBdr>
            <w:top w:val="none" w:sz="0" w:space="0" w:color="auto"/>
            <w:left w:val="none" w:sz="0" w:space="0" w:color="auto"/>
            <w:bottom w:val="none" w:sz="0" w:space="0" w:color="auto"/>
            <w:right w:val="none" w:sz="0" w:space="0" w:color="auto"/>
          </w:divBdr>
        </w:div>
        <w:div w:id="287244381">
          <w:marLeft w:val="0"/>
          <w:marRight w:val="0"/>
          <w:marTop w:val="216"/>
          <w:marBottom w:val="0"/>
          <w:divBdr>
            <w:top w:val="none" w:sz="0" w:space="0" w:color="auto"/>
            <w:left w:val="none" w:sz="0" w:space="0" w:color="auto"/>
            <w:bottom w:val="none" w:sz="0" w:space="0" w:color="auto"/>
            <w:right w:val="none" w:sz="0" w:space="0" w:color="auto"/>
          </w:divBdr>
        </w:div>
        <w:div w:id="789710381">
          <w:marLeft w:val="720"/>
          <w:marRight w:val="0"/>
          <w:marTop w:val="192"/>
          <w:marBottom w:val="0"/>
          <w:divBdr>
            <w:top w:val="none" w:sz="0" w:space="0" w:color="auto"/>
            <w:left w:val="none" w:sz="0" w:space="0" w:color="auto"/>
            <w:bottom w:val="none" w:sz="0" w:space="0" w:color="auto"/>
            <w:right w:val="none" w:sz="0" w:space="0" w:color="auto"/>
          </w:divBdr>
        </w:div>
        <w:div w:id="1316489103">
          <w:marLeft w:val="720"/>
          <w:marRight w:val="0"/>
          <w:marTop w:val="192"/>
          <w:marBottom w:val="0"/>
          <w:divBdr>
            <w:top w:val="none" w:sz="0" w:space="0" w:color="auto"/>
            <w:left w:val="none" w:sz="0" w:space="0" w:color="auto"/>
            <w:bottom w:val="none" w:sz="0" w:space="0" w:color="auto"/>
            <w:right w:val="none" w:sz="0" w:space="0" w:color="auto"/>
          </w:divBdr>
        </w:div>
        <w:div w:id="1872109802">
          <w:marLeft w:val="0"/>
          <w:marRight w:val="0"/>
          <w:marTop w:val="216"/>
          <w:marBottom w:val="0"/>
          <w:divBdr>
            <w:top w:val="none" w:sz="0" w:space="0" w:color="auto"/>
            <w:left w:val="none" w:sz="0" w:space="0" w:color="auto"/>
            <w:bottom w:val="none" w:sz="0" w:space="0" w:color="auto"/>
            <w:right w:val="none" w:sz="0" w:space="0" w:color="auto"/>
          </w:divBdr>
        </w:div>
        <w:div w:id="2038383500">
          <w:marLeft w:val="720"/>
          <w:marRight w:val="0"/>
          <w:marTop w:val="192"/>
          <w:marBottom w:val="0"/>
          <w:divBdr>
            <w:top w:val="none" w:sz="0" w:space="0" w:color="auto"/>
            <w:left w:val="none" w:sz="0" w:space="0" w:color="auto"/>
            <w:bottom w:val="none" w:sz="0" w:space="0" w:color="auto"/>
            <w:right w:val="none" w:sz="0" w:space="0" w:color="auto"/>
          </w:divBdr>
        </w:div>
      </w:divsChild>
    </w:div>
    <w:div w:id="1295520179">
      <w:bodyDiv w:val="1"/>
      <w:marLeft w:val="0"/>
      <w:marRight w:val="0"/>
      <w:marTop w:val="0"/>
      <w:marBottom w:val="0"/>
      <w:divBdr>
        <w:top w:val="none" w:sz="0" w:space="0" w:color="auto"/>
        <w:left w:val="none" w:sz="0" w:space="0" w:color="auto"/>
        <w:bottom w:val="none" w:sz="0" w:space="0" w:color="auto"/>
        <w:right w:val="none" w:sz="0" w:space="0" w:color="auto"/>
      </w:divBdr>
    </w:div>
    <w:div w:id="1296714096">
      <w:bodyDiv w:val="1"/>
      <w:marLeft w:val="0"/>
      <w:marRight w:val="0"/>
      <w:marTop w:val="0"/>
      <w:marBottom w:val="0"/>
      <w:divBdr>
        <w:top w:val="none" w:sz="0" w:space="0" w:color="auto"/>
        <w:left w:val="none" w:sz="0" w:space="0" w:color="auto"/>
        <w:bottom w:val="none" w:sz="0" w:space="0" w:color="auto"/>
        <w:right w:val="none" w:sz="0" w:space="0" w:color="auto"/>
      </w:divBdr>
    </w:div>
    <w:div w:id="1298022880">
      <w:bodyDiv w:val="1"/>
      <w:marLeft w:val="0"/>
      <w:marRight w:val="0"/>
      <w:marTop w:val="0"/>
      <w:marBottom w:val="0"/>
      <w:divBdr>
        <w:top w:val="none" w:sz="0" w:space="0" w:color="auto"/>
        <w:left w:val="none" w:sz="0" w:space="0" w:color="auto"/>
        <w:bottom w:val="none" w:sz="0" w:space="0" w:color="auto"/>
        <w:right w:val="none" w:sz="0" w:space="0" w:color="auto"/>
      </w:divBdr>
    </w:div>
    <w:div w:id="1328051853">
      <w:bodyDiv w:val="1"/>
      <w:marLeft w:val="0"/>
      <w:marRight w:val="0"/>
      <w:marTop w:val="0"/>
      <w:marBottom w:val="0"/>
      <w:divBdr>
        <w:top w:val="none" w:sz="0" w:space="0" w:color="auto"/>
        <w:left w:val="none" w:sz="0" w:space="0" w:color="auto"/>
        <w:bottom w:val="none" w:sz="0" w:space="0" w:color="auto"/>
        <w:right w:val="none" w:sz="0" w:space="0" w:color="auto"/>
      </w:divBdr>
    </w:div>
    <w:div w:id="1342926267">
      <w:bodyDiv w:val="1"/>
      <w:marLeft w:val="0"/>
      <w:marRight w:val="0"/>
      <w:marTop w:val="0"/>
      <w:marBottom w:val="0"/>
      <w:divBdr>
        <w:top w:val="none" w:sz="0" w:space="0" w:color="auto"/>
        <w:left w:val="none" w:sz="0" w:space="0" w:color="auto"/>
        <w:bottom w:val="none" w:sz="0" w:space="0" w:color="auto"/>
        <w:right w:val="none" w:sz="0" w:space="0" w:color="auto"/>
      </w:divBdr>
    </w:div>
    <w:div w:id="1344939178">
      <w:bodyDiv w:val="1"/>
      <w:marLeft w:val="0"/>
      <w:marRight w:val="0"/>
      <w:marTop w:val="0"/>
      <w:marBottom w:val="0"/>
      <w:divBdr>
        <w:top w:val="none" w:sz="0" w:space="0" w:color="auto"/>
        <w:left w:val="none" w:sz="0" w:space="0" w:color="auto"/>
        <w:bottom w:val="none" w:sz="0" w:space="0" w:color="auto"/>
        <w:right w:val="none" w:sz="0" w:space="0" w:color="auto"/>
      </w:divBdr>
    </w:div>
    <w:div w:id="1358048473">
      <w:bodyDiv w:val="1"/>
      <w:marLeft w:val="0"/>
      <w:marRight w:val="0"/>
      <w:marTop w:val="0"/>
      <w:marBottom w:val="0"/>
      <w:divBdr>
        <w:top w:val="none" w:sz="0" w:space="0" w:color="auto"/>
        <w:left w:val="none" w:sz="0" w:space="0" w:color="auto"/>
        <w:bottom w:val="none" w:sz="0" w:space="0" w:color="auto"/>
        <w:right w:val="none" w:sz="0" w:space="0" w:color="auto"/>
      </w:divBdr>
    </w:div>
    <w:div w:id="1366980133">
      <w:bodyDiv w:val="1"/>
      <w:marLeft w:val="0"/>
      <w:marRight w:val="0"/>
      <w:marTop w:val="0"/>
      <w:marBottom w:val="0"/>
      <w:divBdr>
        <w:top w:val="none" w:sz="0" w:space="0" w:color="auto"/>
        <w:left w:val="none" w:sz="0" w:space="0" w:color="auto"/>
        <w:bottom w:val="none" w:sz="0" w:space="0" w:color="auto"/>
        <w:right w:val="none" w:sz="0" w:space="0" w:color="auto"/>
      </w:divBdr>
    </w:div>
    <w:div w:id="1396316210">
      <w:bodyDiv w:val="1"/>
      <w:marLeft w:val="0"/>
      <w:marRight w:val="0"/>
      <w:marTop w:val="0"/>
      <w:marBottom w:val="0"/>
      <w:divBdr>
        <w:top w:val="none" w:sz="0" w:space="0" w:color="auto"/>
        <w:left w:val="none" w:sz="0" w:space="0" w:color="auto"/>
        <w:bottom w:val="none" w:sz="0" w:space="0" w:color="auto"/>
        <w:right w:val="none" w:sz="0" w:space="0" w:color="auto"/>
      </w:divBdr>
    </w:div>
    <w:div w:id="1400975432">
      <w:bodyDiv w:val="1"/>
      <w:marLeft w:val="0"/>
      <w:marRight w:val="0"/>
      <w:marTop w:val="0"/>
      <w:marBottom w:val="0"/>
      <w:divBdr>
        <w:top w:val="none" w:sz="0" w:space="0" w:color="auto"/>
        <w:left w:val="none" w:sz="0" w:space="0" w:color="auto"/>
        <w:bottom w:val="none" w:sz="0" w:space="0" w:color="auto"/>
        <w:right w:val="none" w:sz="0" w:space="0" w:color="auto"/>
      </w:divBdr>
    </w:div>
    <w:div w:id="1404328183">
      <w:bodyDiv w:val="1"/>
      <w:marLeft w:val="0"/>
      <w:marRight w:val="0"/>
      <w:marTop w:val="0"/>
      <w:marBottom w:val="0"/>
      <w:divBdr>
        <w:top w:val="none" w:sz="0" w:space="0" w:color="auto"/>
        <w:left w:val="none" w:sz="0" w:space="0" w:color="auto"/>
        <w:bottom w:val="none" w:sz="0" w:space="0" w:color="auto"/>
        <w:right w:val="none" w:sz="0" w:space="0" w:color="auto"/>
      </w:divBdr>
    </w:div>
    <w:div w:id="1443914492">
      <w:bodyDiv w:val="1"/>
      <w:marLeft w:val="0"/>
      <w:marRight w:val="0"/>
      <w:marTop w:val="0"/>
      <w:marBottom w:val="0"/>
      <w:divBdr>
        <w:top w:val="none" w:sz="0" w:space="0" w:color="auto"/>
        <w:left w:val="none" w:sz="0" w:space="0" w:color="auto"/>
        <w:bottom w:val="none" w:sz="0" w:space="0" w:color="auto"/>
        <w:right w:val="none" w:sz="0" w:space="0" w:color="auto"/>
      </w:divBdr>
    </w:div>
    <w:div w:id="1451169362">
      <w:bodyDiv w:val="1"/>
      <w:marLeft w:val="0"/>
      <w:marRight w:val="0"/>
      <w:marTop w:val="0"/>
      <w:marBottom w:val="0"/>
      <w:divBdr>
        <w:top w:val="none" w:sz="0" w:space="0" w:color="auto"/>
        <w:left w:val="none" w:sz="0" w:space="0" w:color="auto"/>
        <w:bottom w:val="none" w:sz="0" w:space="0" w:color="auto"/>
        <w:right w:val="none" w:sz="0" w:space="0" w:color="auto"/>
      </w:divBdr>
    </w:div>
    <w:div w:id="1454326860">
      <w:bodyDiv w:val="1"/>
      <w:marLeft w:val="0"/>
      <w:marRight w:val="0"/>
      <w:marTop w:val="0"/>
      <w:marBottom w:val="0"/>
      <w:divBdr>
        <w:top w:val="none" w:sz="0" w:space="0" w:color="auto"/>
        <w:left w:val="none" w:sz="0" w:space="0" w:color="auto"/>
        <w:bottom w:val="none" w:sz="0" w:space="0" w:color="auto"/>
        <w:right w:val="none" w:sz="0" w:space="0" w:color="auto"/>
      </w:divBdr>
    </w:div>
    <w:div w:id="1464350318">
      <w:bodyDiv w:val="1"/>
      <w:marLeft w:val="0"/>
      <w:marRight w:val="0"/>
      <w:marTop w:val="0"/>
      <w:marBottom w:val="0"/>
      <w:divBdr>
        <w:top w:val="none" w:sz="0" w:space="0" w:color="auto"/>
        <w:left w:val="none" w:sz="0" w:space="0" w:color="auto"/>
        <w:bottom w:val="none" w:sz="0" w:space="0" w:color="auto"/>
        <w:right w:val="none" w:sz="0" w:space="0" w:color="auto"/>
      </w:divBdr>
    </w:div>
    <w:div w:id="1472744964">
      <w:bodyDiv w:val="1"/>
      <w:marLeft w:val="0"/>
      <w:marRight w:val="0"/>
      <w:marTop w:val="0"/>
      <w:marBottom w:val="0"/>
      <w:divBdr>
        <w:top w:val="none" w:sz="0" w:space="0" w:color="auto"/>
        <w:left w:val="none" w:sz="0" w:space="0" w:color="auto"/>
        <w:bottom w:val="none" w:sz="0" w:space="0" w:color="auto"/>
        <w:right w:val="none" w:sz="0" w:space="0" w:color="auto"/>
      </w:divBdr>
    </w:div>
    <w:div w:id="1474255539">
      <w:bodyDiv w:val="1"/>
      <w:marLeft w:val="0"/>
      <w:marRight w:val="0"/>
      <w:marTop w:val="0"/>
      <w:marBottom w:val="0"/>
      <w:divBdr>
        <w:top w:val="none" w:sz="0" w:space="0" w:color="auto"/>
        <w:left w:val="none" w:sz="0" w:space="0" w:color="auto"/>
        <w:bottom w:val="none" w:sz="0" w:space="0" w:color="auto"/>
        <w:right w:val="none" w:sz="0" w:space="0" w:color="auto"/>
      </w:divBdr>
    </w:div>
    <w:div w:id="1480608751">
      <w:bodyDiv w:val="1"/>
      <w:marLeft w:val="0"/>
      <w:marRight w:val="0"/>
      <w:marTop w:val="0"/>
      <w:marBottom w:val="0"/>
      <w:divBdr>
        <w:top w:val="none" w:sz="0" w:space="0" w:color="auto"/>
        <w:left w:val="none" w:sz="0" w:space="0" w:color="auto"/>
        <w:bottom w:val="none" w:sz="0" w:space="0" w:color="auto"/>
        <w:right w:val="none" w:sz="0" w:space="0" w:color="auto"/>
      </w:divBdr>
    </w:div>
    <w:div w:id="1486894744">
      <w:bodyDiv w:val="1"/>
      <w:marLeft w:val="0"/>
      <w:marRight w:val="0"/>
      <w:marTop w:val="0"/>
      <w:marBottom w:val="0"/>
      <w:divBdr>
        <w:top w:val="none" w:sz="0" w:space="0" w:color="auto"/>
        <w:left w:val="none" w:sz="0" w:space="0" w:color="auto"/>
        <w:bottom w:val="none" w:sz="0" w:space="0" w:color="auto"/>
        <w:right w:val="none" w:sz="0" w:space="0" w:color="auto"/>
      </w:divBdr>
    </w:div>
    <w:div w:id="1489055190">
      <w:bodyDiv w:val="1"/>
      <w:marLeft w:val="0"/>
      <w:marRight w:val="0"/>
      <w:marTop w:val="0"/>
      <w:marBottom w:val="0"/>
      <w:divBdr>
        <w:top w:val="none" w:sz="0" w:space="0" w:color="auto"/>
        <w:left w:val="none" w:sz="0" w:space="0" w:color="auto"/>
        <w:bottom w:val="none" w:sz="0" w:space="0" w:color="auto"/>
        <w:right w:val="none" w:sz="0" w:space="0" w:color="auto"/>
      </w:divBdr>
    </w:div>
    <w:div w:id="1490053028">
      <w:bodyDiv w:val="1"/>
      <w:marLeft w:val="0"/>
      <w:marRight w:val="0"/>
      <w:marTop w:val="0"/>
      <w:marBottom w:val="0"/>
      <w:divBdr>
        <w:top w:val="none" w:sz="0" w:space="0" w:color="auto"/>
        <w:left w:val="none" w:sz="0" w:space="0" w:color="auto"/>
        <w:bottom w:val="none" w:sz="0" w:space="0" w:color="auto"/>
        <w:right w:val="none" w:sz="0" w:space="0" w:color="auto"/>
      </w:divBdr>
    </w:div>
    <w:div w:id="1491604704">
      <w:bodyDiv w:val="1"/>
      <w:marLeft w:val="0"/>
      <w:marRight w:val="0"/>
      <w:marTop w:val="0"/>
      <w:marBottom w:val="0"/>
      <w:divBdr>
        <w:top w:val="none" w:sz="0" w:space="0" w:color="auto"/>
        <w:left w:val="none" w:sz="0" w:space="0" w:color="auto"/>
        <w:bottom w:val="none" w:sz="0" w:space="0" w:color="auto"/>
        <w:right w:val="none" w:sz="0" w:space="0" w:color="auto"/>
      </w:divBdr>
    </w:div>
    <w:div w:id="1528056688">
      <w:bodyDiv w:val="1"/>
      <w:marLeft w:val="0"/>
      <w:marRight w:val="0"/>
      <w:marTop w:val="0"/>
      <w:marBottom w:val="0"/>
      <w:divBdr>
        <w:top w:val="none" w:sz="0" w:space="0" w:color="auto"/>
        <w:left w:val="none" w:sz="0" w:space="0" w:color="auto"/>
        <w:bottom w:val="none" w:sz="0" w:space="0" w:color="auto"/>
        <w:right w:val="none" w:sz="0" w:space="0" w:color="auto"/>
      </w:divBdr>
    </w:div>
    <w:div w:id="1542397517">
      <w:bodyDiv w:val="1"/>
      <w:marLeft w:val="0"/>
      <w:marRight w:val="0"/>
      <w:marTop w:val="0"/>
      <w:marBottom w:val="0"/>
      <w:divBdr>
        <w:top w:val="none" w:sz="0" w:space="0" w:color="auto"/>
        <w:left w:val="none" w:sz="0" w:space="0" w:color="auto"/>
        <w:bottom w:val="none" w:sz="0" w:space="0" w:color="auto"/>
        <w:right w:val="none" w:sz="0" w:space="0" w:color="auto"/>
      </w:divBdr>
    </w:div>
    <w:div w:id="1547180997">
      <w:bodyDiv w:val="1"/>
      <w:marLeft w:val="0"/>
      <w:marRight w:val="0"/>
      <w:marTop w:val="0"/>
      <w:marBottom w:val="0"/>
      <w:divBdr>
        <w:top w:val="none" w:sz="0" w:space="0" w:color="auto"/>
        <w:left w:val="none" w:sz="0" w:space="0" w:color="auto"/>
        <w:bottom w:val="none" w:sz="0" w:space="0" w:color="auto"/>
        <w:right w:val="none" w:sz="0" w:space="0" w:color="auto"/>
      </w:divBdr>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
    <w:div w:id="1564368206">
      <w:bodyDiv w:val="1"/>
      <w:marLeft w:val="0"/>
      <w:marRight w:val="0"/>
      <w:marTop w:val="0"/>
      <w:marBottom w:val="0"/>
      <w:divBdr>
        <w:top w:val="none" w:sz="0" w:space="0" w:color="auto"/>
        <w:left w:val="none" w:sz="0" w:space="0" w:color="auto"/>
        <w:bottom w:val="none" w:sz="0" w:space="0" w:color="auto"/>
        <w:right w:val="none" w:sz="0" w:space="0" w:color="auto"/>
      </w:divBdr>
    </w:div>
    <w:div w:id="1571581123">
      <w:bodyDiv w:val="1"/>
      <w:marLeft w:val="0"/>
      <w:marRight w:val="0"/>
      <w:marTop w:val="0"/>
      <w:marBottom w:val="0"/>
      <w:divBdr>
        <w:top w:val="none" w:sz="0" w:space="0" w:color="auto"/>
        <w:left w:val="none" w:sz="0" w:space="0" w:color="auto"/>
        <w:bottom w:val="none" w:sz="0" w:space="0" w:color="auto"/>
        <w:right w:val="none" w:sz="0" w:space="0" w:color="auto"/>
      </w:divBdr>
    </w:div>
    <w:div w:id="1573195268">
      <w:bodyDiv w:val="1"/>
      <w:marLeft w:val="0"/>
      <w:marRight w:val="0"/>
      <w:marTop w:val="0"/>
      <w:marBottom w:val="0"/>
      <w:divBdr>
        <w:top w:val="none" w:sz="0" w:space="0" w:color="auto"/>
        <w:left w:val="none" w:sz="0" w:space="0" w:color="auto"/>
        <w:bottom w:val="none" w:sz="0" w:space="0" w:color="auto"/>
        <w:right w:val="none" w:sz="0" w:space="0" w:color="auto"/>
      </w:divBdr>
    </w:div>
    <w:div w:id="1580671483">
      <w:bodyDiv w:val="1"/>
      <w:marLeft w:val="0"/>
      <w:marRight w:val="0"/>
      <w:marTop w:val="0"/>
      <w:marBottom w:val="0"/>
      <w:divBdr>
        <w:top w:val="none" w:sz="0" w:space="0" w:color="auto"/>
        <w:left w:val="none" w:sz="0" w:space="0" w:color="auto"/>
        <w:bottom w:val="none" w:sz="0" w:space="0" w:color="auto"/>
        <w:right w:val="none" w:sz="0" w:space="0" w:color="auto"/>
      </w:divBdr>
    </w:div>
    <w:div w:id="1585649553">
      <w:bodyDiv w:val="1"/>
      <w:marLeft w:val="0"/>
      <w:marRight w:val="0"/>
      <w:marTop w:val="0"/>
      <w:marBottom w:val="0"/>
      <w:divBdr>
        <w:top w:val="none" w:sz="0" w:space="0" w:color="auto"/>
        <w:left w:val="none" w:sz="0" w:space="0" w:color="auto"/>
        <w:bottom w:val="none" w:sz="0" w:space="0" w:color="auto"/>
        <w:right w:val="none" w:sz="0" w:space="0" w:color="auto"/>
      </w:divBdr>
      <w:divsChild>
        <w:div w:id="1405378362">
          <w:marLeft w:val="0"/>
          <w:marRight w:val="0"/>
          <w:marTop w:val="192"/>
          <w:marBottom w:val="0"/>
          <w:divBdr>
            <w:top w:val="none" w:sz="0" w:space="0" w:color="auto"/>
            <w:left w:val="none" w:sz="0" w:space="0" w:color="auto"/>
            <w:bottom w:val="none" w:sz="0" w:space="0" w:color="auto"/>
            <w:right w:val="none" w:sz="0" w:space="0" w:color="auto"/>
          </w:divBdr>
        </w:div>
      </w:divsChild>
    </w:div>
    <w:div w:id="1600599875">
      <w:bodyDiv w:val="1"/>
      <w:marLeft w:val="0"/>
      <w:marRight w:val="0"/>
      <w:marTop w:val="0"/>
      <w:marBottom w:val="0"/>
      <w:divBdr>
        <w:top w:val="none" w:sz="0" w:space="0" w:color="auto"/>
        <w:left w:val="none" w:sz="0" w:space="0" w:color="auto"/>
        <w:bottom w:val="none" w:sz="0" w:space="0" w:color="auto"/>
        <w:right w:val="none" w:sz="0" w:space="0" w:color="auto"/>
      </w:divBdr>
    </w:div>
    <w:div w:id="1604918806">
      <w:bodyDiv w:val="1"/>
      <w:marLeft w:val="0"/>
      <w:marRight w:val="0"/>
      <w:marTop w:val="0"/>
      <w:marBottom w:val="0"/>
      <w:divBdr>
        <w:top w:val="none" w:sz="0" w:space="0" w:color="auto"/>
        <w:left w:val="none" w:sz="0" w:space="0" w:color="auto"/>
        <w:bottom w:val="none" w:sz="0" w:space="0" w:color="auto"/>
        <w:right w:val="none" w:sz="0" w:space="0" w:color="auto"/>
      </w:divBdr>
    </w:div>
    <w:div w:id="1617977851">
      <w:bodyDiv w:val="1"/>
      <w:marLeft w:val="0"/>
      <w:marRight w:val="0"/>
      <w:marTop w:val="0"/>
      <w:marBottom w:val="0"/>
      <w:divBdr>
        <w:top w:val="none" w:sz="0" w:space="0" w:color="auto"/>
        <w:left w:val="none" w:sz="0" w:space="0" w:color="auto"/>
        <w:bottom w:val="none" w:sz="0" w:space="0" w:color="auto"/>
        <w:right w:val="none" w:sz="0" w:space="0" w:color="auto"/>
      </w:divBdr>
    </w:div>
    <w:div w:id="1627852099">
      <w:bodyDiv w:val="1"/>
      <w:marLeft w:val="0"/>
      <w:marRight w:val="0"/>
      <w:marTop w:val="0"/>
      <w:marBottom w:val="0"/>
      <w:divBdr>
        <w:top w:val="none" w:sz="0" w:space="0" w:color="auto"/>
        <w:left w:val="none" w:sz="0" w:space="0" w:color="auto"/>
        <w:bottom w:val="none" w:sz="0" w:space="0" w:color="auto"/>
        <w:right w:val="none" w:sz="0" w:space="0" w:color="auto"/>
      </w:divBdr>
    </w:div>
    <w:div w:id="1648972198">
      <w:bodyDiv w:val="1"/>
      <w:marLeft w:val="0"/>
      <w:marRight w:val="0"/>
      <w:marTop w:val="0"/>
      <w:marBottom w:val="0"/>
      <w:divBdr>
        <w:top w:val="none" w:sz="0" w:space="0" w:color="auto"/>
        <w:left w:val="none" w:sz="0" w:space="0" w:color="auto"/>
        <w:bottom w:val="none" w:sz="0" w:space="0" w:color="auto"/>
        <w:right w:val="none" w:sz="0" w:space="0" w:color="auto"/>
      </w:divBdr>
    </w:div>
    <w:div w:id="1654990511">
      <w:bodyDiv w:val="1"/>
      <w:marLeft w:val="0"/>
      <w:marRight w:val="0"/>
      <w:marTop w:val="0"/>
      <w:marBottom w:val="0"/>
      <w:divBdr>
        <w:top w:val="none" w:sz="0" w:space="0" w:color="auto"/>
        <w:left w:val="none" w:sz="0" w:space="0" w:color="auto"/>
        <w:bottom w:val="none" w:sz="0" w:space="0" w:color="auto"/>
        <w:right w:val="none" w:sz="0" w:space="0" w:color="auto"/>
      </w:divBdr>
    </w:div>
    <w:div w:id="1660646186">
      <w:bodyDiv w:val="1"/>
      <w:marLeft w:val="0"/>
      <w:marRight w:val="0"/>
      <w:marTop w:val="0"/>
      <w:marBottom w:val="0"/>
      <w:divBdr>
        <w:top w:val="none" w:sz="0" w:space="0" w:color="auto"/>
        <w:left w:val="none" w:sz="0" w:space="0" w:color="auto"/>
        <w:bottom w:val="none" w:sz="0" w:space="0" w:color="auto"/>
        <w:right w:val="none" w:sz="0" w:space="0" w:color="auto"/>
      </w:divBdr>
    </w:div>
    <w:div w:id="1661763472">
      <w:bodyDiv w:val="1"/>
      <w:marLeft w:val="0"/>
      <w:marRight w:val="0"/>
      <w:marTop w:val="0"/>
      <w:marBottom w:val="0"/>
      <w:divBdr>
        <w:top w:val="none" w:sz="0" w:space="0" w:color="auto"/>
        <w:left w:val="none" w:sz="0" w:space="0" w:color="auto"/>
        <w:bottom w:val="none" w:sz="0" w:space="0" w:color="auto"/>
        <w:right w:val="none" w:sz="0" w:space="0" w:color="auto"/>
      </w:divBdr>
    </w:div>
    <w:div w:id="1680228738">
      <w:bodyDiv w:val="1"/>
      <w:marLeft w:val="0"/>
      <w:marRight w:val="0"/>
      <w:marTop w:val="0"/>
      <w:marBottom w:val="0"/>
      <w:divBdr>
        <w:top w:val="none" w:sz="0" w:space="0" w:color="auto"/>
        <w:left w:val="none" w:sz="0" w:space="0" w:color="auto"/>
        <w:bottom w:val="none" w:sz="0" w:space="0" w:color="auto"/>
        <w:right w:val="none" w:sz="0" w:space="0" w:color="auto"/>
      </w:divBdr>
    </w:div>
    <w:div w:id="1700429063">
      <w:bodyDiv w:val="1"/>
      <w:marLeft w:val="0"/>
      <w:marRight w:val="0"/>
      <w:marTop w:val="0"/>
      <w:marBottom w:val="0"/>
      <w:divBdr>
        <w:top w:val="none" w:sz="0" w:space="0" w:color="auto"/>
        <w:left w:val="none" w:sz="0" w:space="0" w:color="auto"/>
        <w:bottom w:val="none" w:sz="0" w:space="0" w:color="auto"/>
        <w:right w:val="none" w:sz="0" w:space="0" w:color="auto"/>
      </w:divBdr>
    </w:div>
    <w:div w:id="1712265956">
      <w:bodyDiv w:val="1"/>
      <w:marLeft w:val="0"/>
      <w:marRight w:val="0"/>
      <w:marTop w:val="0"/>
      <w:marBottom w:val="0"/>
      <w:divBdr>
        <w:top w:val="none" w:sz="0" w:space="0" w:color="auto"/>
        <w:left w:val="none" w:sz="0" w:space="0" w:color="auto"/>
        <w:bottom w:val="none" w:sz="0" w:space="0" w:color="auto"/>
        <w:right w:val="none" w:sz="0" w:space="0" w:color="auto"/>
      </w:divBdr>
    </w:div>
    <w:div w:id="1716074840">
      <w:bodyDiv w:val="1"/>
      <w:marLeft w:val="0"/>
      <w:marRight w:val="0"/>
      <w:marTop w:val="0"/>
      <w:marBottom w:val="0"/>
      <w:divBdr>
        <w:top w:val="none" w:sz="0" w:space="0" w:color="auto"/>
        <w:left w:val="none" w:sz="0" w:space="0" w:color="auto"/>
        <w:bottom w:val="none" w:sz="0" w:space="0" w:color="auto"/>
        <w:right w:val="none" w:sz="0" w:space="0" w:color="auto"/>
      </w:divBdr>
    </w:div>
    <w:div w:id="1719276030">
      <w:bodyDiv w:val="1"/>
      <w:marLeft w:val="0"/>
      <w:marRight w:val="0"/>
      <w:marTop w:val="0"/>
      <w:marBottom w:val="0"/>
      <w:divBdr>
        <w:top w:val="none" w:sz="0" w:space="0" w:color="auto"/>
        <w:left w:val="none" w:sz="0" w:space="0" w:color="auto"/>
        <w:bottom w:val="none" w:sz="0" w:space="0" w:color="auto"/>
        <w:right w:val="none" w:sz="0" w:space="0" w:color="auto"/>
      </w:divBdr>
    </w:div>
    <w:div w:id="1719281788">
      <w:bodyDiv w:val="1"/>
      <w:marLeft w:val="0"/>
      <w:marRight w:val="0"/>
      <w:marTop w:val="0"/>
      <w:marBottom w:val="0"/>
      <w:divBdr>
        <w:top w:val="none" w:sz="0" w:space="0" w:color="auto"/>
        <w:left w:val="none" w:sz="0" w:space="0" w:color="auto"/>
        <w:bottom w:val="none" w:sz="0" w:space="0" w:color="auto"/>
        <w:right w:val="none" w:sz="0" w:space="0" w:color="auto"/>
      </w:divBdr>
    </w:div>
    <w:div w:id="1719889441">
      <w:bodyDiv w:val="1"/>
      <w:marLeft w:val="0"/>
      <w:marRight w:val="0"/>
      <w:marTop w:val="0"/>
      <w:marBottom w:val="0"/>
      <w:divBdr>
        <w:top w:val="none" w:sz="0" w:space="0" w:color="auto"/>
        <w:left w:val="none" w:sz="0" w:space="0" w:color="auto"/>
        <w:bottom w:val="none" w:sz="0" w:space="0" w:color="auto"/>
        <w:right w:val="none" w:sz="0" w:space="0" w:color="auto"/>
      </w:divBdr>
    </w:div>
    <w:div w:id="1728840906">
      <w:bodyDiv w:val="1"/>
      <w:marLeft w:val="0"/>
      <w:marRight w:val="0"/>
      <w:marTop w:val="0"/>
      <w:marBottom w:val="0"/>
      <w:divBdr>
        <w:top w:val="none" w:sz="0" w:space="0" w:color="auto"/>
        <w:left w:val="none" w:sz="0" w:space="0" w:color="auto"/>
        <w:bottom w:val="none" w:sz="0" w:space="0" w:color="auto"/>
        <w:right w:val="none" w:sz="0" w:space="0" w:color="auto"/>
      </w:divBdr>
    </w:div>
    <w:div w:id="1735927341">
      <w:bodyDiv w:val="1"/>
      <w:marLeft w:val="0"/>
      <w:marRight w:val="0"/>
      <w:marTop w:val="0"/>
      <w:marBottom w:val="0"/>
      <w:divBdr>
        <w:top w:val="none" w:sz="0" w:space="0" w:color="auto"/>
        <w:left w:val="none" w:sz="0" w:space="0" w:color="auto"/>
        <w:bottom w:val="none" w:sz="0" w:space="0" w:color="auto"/>
        <w:right w:val="none" w:sz="0" w:space="0" w:color="auto"/>
      </w:divBdr>
    </w:div>
    <w:div w:id="1740134920">
      <w:bodyDiv w:val="1"/>
      <w:marLeft w:val="0"/>
      <w:marRight w:val="0"/>
      <w:marTop w:val="0"/>
      <w:marBottom w:val="0"/>
      <w:divBdr>
        <w:top w:val="none" w:sz="0" w:space="0" w:color="auto"/>
        <w:left w:val="none" w:sz="0" w:space="0" w:color="auto"/>
        <w:bottom w:val="none" w:sz="0" w:space="0" w:color="auto"/>
        <w:right w:val="none" w:sz="0" w:space="0" w:color="auto"/>
      </w:divBdr>
    </w:div>
    <w:div w:id="1746031532">
      <w:bodyDiv w:val="1"/>
      <w:marLeft w:val="0"/>
      <w:marRight w:val="0"/>
      <w:marTop w:val="0"/>
      <w:marBottom w:val="0"/>
      <w:divBdr>
        <w:top w:val="none" w:sz="0" w:space="0" w:color="auto"/>
        <w:left w:val="none" w:sz="0" w:space="0" w:color="auto"/>
        <w:bottom w:val="none" w:sz="0" w:space="0" w:color="auto"/>
        <w:right w:val="none" w:sz="0" w:space="0" w:color="auto"/>
      </w:divBdr>
    </w:div>
    <w:div w:id="1757238564">
      <w:bodyDiv w:val="1"/>
      <w:marLeft w:val="0"/>
      <w:marRight w:val="0"/>
      <w:marTop w:val="0"/>
      <w:marBottom w:val="0"/>
      <w:divBdr>
        <w:top w:val="none" w:sz="0" w:space="0" w:color="auto"/>
        <w:left w:val="none" w:sz="0" w:space="0" w:color="auto"/>
        <w:bottom w:val="none" w:sz="0" w:space="0" w:color="auto"/>
        <w:right w:val="none" w:sz="0" w:space="0" w:color="auto"/>
      </w:divBdr>
    </w:div>
    <w:div w:id="1792942179">
      <w:bodyDiv w:val="1"/>
      <w:marLeft w:val="0"/>
      <w:marRight w:val="0"/>
      <w:marTop w:val="0"/>
      <w:marBottom w:val="0"/>
      <w:divBdr>
        <w:top w:val="none" w:sz="0" w:space="0" w:color="auto"/>
        <w:left w:val="none" w:sz="0" w:space="0" w:color="auto"/>
        <w:bottom w:val="none" w:sz="0" w:space="0" w:color="auto"/>
        <w:right w:val="none" w:sz="0" w:space="0" w:color="auto"/>
      </w:divBdr>
    </w:div>
    <w:div w:id="1804469639">
      <w:bodyDiv w:val="1"/>
      <w:marLeft w:val="0"/>
      <w:marRight w:val="0"/>
      <w:marTop w:val="0"/>
      <w:marBottom w:val="0"/>
      <w:divBdr>
        <w:top w:val="none" w:sz="0" w:space="0" w:color="auto"/>
        <w:left w:val="none" w:sz="0" w:space="0" w:color="auto"/>
        <w:bottom w:val="none" w:sz="0" w:space="0" w:color="auto"/>
        <w:right w:val="none" w:sz="0" w:space="0" w:color="auto"/>
      </w:divBdr>
    </w:div>
    <w:div w:id="1806465902">
      <w:bodyDiv w:val="1"/>
      <w:marLeft w:val="0"/>
      <w:marRight w:val="0"/>
      <w:marTop w:val="0"/>
      <w:marBottom w:val="0"/>
      <w:divBdr>
        <w:top w:val="none" w:sz="0" w:space="0" w:color="auto"/>
        <w:left w:val="none" w:sz="0" w:space="0" w:color="auto"/>
        <w:bottom w:val="none" w:sz="0" w:space="0" w:color="auto"/>
        <w:right w:val="none" w:sz="0" w:space="0" w:color="auto"/>
      </w:divBdr>
    </w:div>
    <w:div w:id="1822186434">
      <w:bodyDiv w:val="1"/>
      <w:marLeft w:val="0"/>
      <w:marRight w:val="0"/>
      <w:marTop w:val="0"/>
      <w:marBottom w:val="0"/>
      <w:divBdr>
        <w:top w:val="none" w:sz="0" w:space="0" w:color="auto"/>
        <w:left w:val="none" w:sz="0" w:space="0" w:color="auto"/>
        <w:bottom w:val="none" w:sz="0" w:space="0" w:color="auto"/>
        <w:right w:val="none" w:sz="0" w:space="0" w:color="auto"/>
      </w:divBdr>
    </w:div>
    <w:div w:id="1827739402">
      <w:bodyDiv w:val="1"/>
      <w:marLeft w:val="0"/>
      <w:marRight w:val="0"/>
      <w:marTop w:val="0"/>
      <w:marBottom w:val="0"/>
      <w:divBdr>
        <w:top w:val="none" w:sz="0" w:space="0" w:color="auto"/>
        <w:left w:val="none" w:sz="0" w:space="0" w:color="auto"/>
        <w:bottom w:val="none" w:sz="0" w:space="0" w:color="auto"/>
        <w:right w:val="none" w:sz="0" w:space="0" w:color="auto"/>
      </w:divBdr>
    </w:div>
    <w:div w:id="1839688163">
      <w:bodyDiv w:val="1"/>
      <w:marLeft w:val="0"/>
      <w:marRight w:val="0"/>
      <w:marTop w:val="0"/>
      <w:marBottom w:val="0"/>
      <w:divBdr>
        <w:top w:val="none" w:sz="0" w:space="0" w:color="auto"/>
        <w:left w:val="none" w:sz="0" w:space="0" w:color="auto"/>
        <w:bottom w:val="none" w:sz="0" w:space="0" w:color="auto"/>
        <w:right w:val="none" w:sz="0" w:space="0" w:color="auto"/>
      </w:divBdr>
      <w:divsChild>
        <w:div w:id="1525901739">
          <w:marLeft w:val="0"/>
          <w:marRight w:val="0"/>
          <w:marTop w:val="0"/>
          <w:marBottom w:val="0"/>
          <w:divBdr>
            <w:top w:val="none" w:sz="0" w:space="0" w:color="auto"/>
            <w:left w:val="none" w:sz="0" w:space="0" w:color="auto"/>
            <w:bottom w:val="none" w:sz="0" w:space="0" w:color="auto"/>
            <w:right w:val="none" w:sz="0" w:space="0" w:color="auto"/>
          </w:divBdr>
        </w:div>
        <w:div w:id="2134788707">
          <w:marLeft w:val="0"/>
          <w:marRight w:val="0"/>
          <w:marTop w:val="0"/>
          <w:marBottom w:val="0"/>
          <w:divBdr>
            <w:top w:val="none" w:sz="0" w:space="0" w:color="auto"/>
            <w:left w:val="none" w:sz="0" w:space="0" w:color="auto"/>
            <w:bottom w:val="none" w:sz="0" w:space="0" w:color="auto"/>
            <w:right w:val="none" w:sz="0" w:space="0" w:color="auto"/>
          </w:divBdr>
        </w:div>
      </w:divsChild>
    </w:div>
    <w:div w:id="1840846954">
      <w:bodyDiv w:val="1"/>
      <w:marLeft w:val="0"/>
      <w:marRight w:val="0"/>
      <w:marTop w:val="0"/>
      <w:marBottom w:val="0"/>
      <w:divBdr>
        <w:top w:val="none" w:sz="0" w:space="0" w:color="auto"/>
        <w:left w:val="none" w:sz="0" w:space="0" w:color="auto"/>
        <w:bottom w:val="none" w:sz="0" w:space="0" w:color="auto"/>
        <w:right w:val="none" w:sz="0" w:space="0" w:color="auto"/>
      </w:divBdr>
    </w:div>
    <w:div w:id="1844974187">
      <w:bodyDiv w:val="1"/>
      <w:marLeft w:val="0"/>
      <w:marRight w:val="0"/>
      <w:marTop w:val="0"/>
      <w:marBottom w:val="0"/>
      <w:divBdr>
        <w:top w:val="none" w:sz="0" w:space="0" w:color="auto"/>
        <w:left w:val="none" w:sz="0" w:space="0" w:color="auto"/>
        <w:bottom w:val="none" w:sz="0" w:space="0" w:color="auto"/>
        <w:right w:val="none" w:sz="0" w:space="0" w:color="auto"/>
      </w:divBdr>
    </w:div>
    <w:div w:id="1850832358">
      <w:bodyDiv w:val="1"/>
      <w:marLeft w:val="0"/>
      <w:marRight w:val="0"/>
      <w:marTop w:val="0"/>
      <w:marBottom w:val="0"/>
      <w:divBdr>
        <w:top w:val="none" w:sz="0" w:space="0" w:color="auto"/>
        <w:left w:val="none" w:sz="0" w:space="0" w:color="auto"/>
        <w:bottom w:val="none" w:sz="0" w:space="0" w:color="auto"/>
        <w:right w:val="none" w:sz="0" w:space="0" w:color="auto"/>
      </w:divBdr>
    </w:div>
    <w:div w:id="1852455115">
      <w:bodyDiv w:val="1"/>
      <w:marLeft w:val="0"/>
      <w:marRight w:val="0"/>
      <w:marTop w:val="0"/>
      <w:marBottom w:val="0"/>
      <w:divBdr>
        <w:top w:val="none" w:sz="0" w:space="0" w:color="auto"/>
        <w:left w:val="none" w:sz="0" w:space="0" w:color="auto"/>
        <w:bottom w:val="none" w:sz="0" w:space="0" w:color="auto"/>
        <w:right w:val="none" w:sz="0" w:space="0" w:color="auto"/>
      </w:divBdr>
      <w:divsChild>
        <w:div w:id="276255085">
          <w:marLeft w:val="0"/>
          <w:marRight w:val="0"/>
          <w:marTop w:val="192"/>
          <w:marBottom w:val="0"/>
          <w:divBdr>
            <w:top w:val="none" w:sz="0" w:space="0" w:color="auto"/>
            <w:left w:val="none" w:sz="0" w:space="0" w:color="auto"/>
            <w:bottom w:val="none" w:sz="0" w:space="0" w:color="auto"/>
            <w:right w:val="none" w:sz="0" w:space="0" w:color="auto"/>
          </w:divBdr>
        </w:div>
      </w:divsChild>
    </w:div>
    <w:div w:id="1867672355">
      <w:bodyDiv w:val="1"/>
      <w:marLeft w:val="0"/>
      <w:marRight w:val="0"/>
      <w:marTop w:val="0"/>
      <w:marBottom w:val="0"/>
      <w:divBdr>
        <w:top w:val="none" w:sz="0" w:space="0" w:color="auto"/>
        <w:left w:val="none" w:sz="0" w:space="0" w:color="auto"/>
        <w:bottom w:val="none" w:sz="0" w:space="0" w:color="auto"/>
        <w:right w:val="none" w:sz="0" w:space="0" w:color="auto"/>
      </w:divBdr>
    </w:div>
    <w:div w:id="1902517151">
      <w:bodyDiv w:val="1"/>
      <w:marLeft w:val="0"/>
      <w:marRight w:val="0"/>
      <w:marTop w:val="0"/>
      <w:marBottom w:val="0"/>
      <w:divBdr>
        <w:top w:val="none" w:sz="0" w:space="0" w:color="auto"/>
        <w:left w:val="none" w:sz="0" w:space="0" w:color="auto"/>
        <w:bottom w:val="none" w:sz="0" w:space="0" w:color="auto"/>
        <w:right w:val="none" w:sz="0" w:space="0" w:color="auto"/>
      </w:divBdr>
    </w:div>
    <w:div w:id="1902866009">
      <w:bodyDiv w:val="1"/>
      <w:marLeft w:val="0"/>
      <w:marRight w:val="0"/>
      <w:marTop w:val="0"/>
      <w:marBottom w:val="0"/>
      <w:divBdr>
        <w:top w:val="none" w:sz="0" w:space="0" w:color="auto"/>
        <w:left w:val="none" w:sz="0" w:space="0" w:color="auto"/>
        <w:bottom w:val="none" w:sz="0" w:space="0" w:color="auto"/>
        <w:right w:val="none" w:sz="0" w:space="0" w:color="auto"/>
      </w:divBdr>
    </w:div>
    <w:div w:id="1918243407">
      <w:bodyDiv w:val="1"/>
      <w:marLeft w:val="0"/>
      <w:marRight w:val="0"/>
      <w:marTop w:val="0"/>
      <w:marBottom w:val="0"/>
      <w:divBdr>
        <w:top w:val="none" w:sz="0" w:space="0" w:color="auto"/>
        <w:left w:val="none" w:sz="0" w:space="0" w:color="auto"/>
        <w:bottom w:val="none" w:sz="0" w:space="0" w:color="auto"/>
        <w:right w:val="none" w:sz="0" w:space="0" w:color="auto"/>
      </w:divBdr>
    </w:div>
    <w:div w:id="1918898979">
      <w:bodyDiv w:val="1"/>
      <w:marLeft w:val="0"/>
      <w:marRight w:val="0"/>
      <w:marTop w:val="0"/>
      <w:marBottom w:val="0"/>
      <w:divBdr>
        <w:top w:val="none" w:sz="0" w:space="0" w:color="auto"/>
        <w:left w:val="none" w:sz="0" w:space="0" w:color="auto"/>
        <w:bottom w:val="none" w:sz="0" w:space="0" w:color="auto"/>
        <w:right w:val="none" w:sz="0" w:space="0" w:color="auto"/>
      </w:divBdr>
    </w:div>
    <w:div w:id="1925334726">
      <w:bodyDiv w:val="1"/>
      <w:marLeft w:val="0"/>
      <w:marRight w:val="0"/>
      <w:marTop w:val="0"/>
      <w:marBottom w:val="0"/>
      <w:divBdr>
        <w:top w:val="none" w:sz="0" w:space="0" w:color="auto"/>
        <w:left w:val="none" w:sz="0" w:space="0" w:color="auto"/>
        <w:bottom w:val="none" w:sz="0" w:space="0" w:color="auto"/>
        <w:right w:val="none" w:sz="0" w:space="0" w:color="auto"/>
      </w:divBdr>
    </w:div>
    <w:div w:id="1944458741">
      <w:bodyDiv w:val="1"/>
      <w:marLeft w:val="0"/>
      <w:marRight w:val="0"/>
      <w:marTop w:val="0"/>
      <w:marBottom w:val="0"/>
      <w:divBdr>
        <w:top w:val="none" w:sz="0" w:space="0" w:color="auto"/>
        <w:left w:val="none" w:sz="0" w:space="0" w:color="auto"/>
        <w:bottom w:val="none" w:sz="0" w:space="0" w:color="auto"/>
        <w:right w:val="none" w:sz="0" w:space="0" w:color="auto"/>
      </w:divBdr>
    </w:div>
    <w:div w:id="1977291386">
      <w:bodyDiv w:val="1"/>
      <w:marLeft w:val="0"/>
      <w:marRight w:val="0"/>
      <w:marTop w:val="0"/>
      <w:marBottom w:val="0"/>
      <w:divBdr>
        <w:top w:val="none" w:sz="0" w:space="0" w:color="auto"/>
        <w:left w:val="none" w:sz="0" w:space="0" w:color="auto"/>
        <w:bottom w:val="none" w:sz="0" w:space="0" w:color="auto"/>
        <w:right w:val="none" w:sz="0" w:space="0" w:color="auto"/>
      </w:divBdr>
      <w:divsChild>
        <w:div w:id="1738817143">
          <w:marLeft w:val="0"/>
          <w:marRight w:val="0"/>
          <w:marTop w:val="192"/>
          <w:marBottom w:val="0"/>
          <w:divBdr>
            <w:top w:val="none" w:sz="0" w:space="0" w:color="auto"/>
            <w:left w:val="none" w:sz="0" w:space="0" w:color="auto"/>
            <w:bottom w:val="none" w:sz="0" w:space="0" w:color="auto"/>
            <w:right w:val="none" w:sz="0" w:space="0" w:color="auto"/>
          </w:divBdr>
        </w:div>
      </w:divsChild>
    </w:div>
    <w:div w:id="1992370818">
      <w:bodyDiv w:val="1"/>
      <w:marLeft w:val="0"/>
      <w:marRight w:val="0"/>
      <w:marTop w:val="0"/>
      <w:marBottom w:val="0"/>
      <w:divBdr>
        <w:top w:val="none" w:sz="0" w:space="0" w:color="auto"/>
        <w:left w:val="none" w:sz="0" w:space="0" w:color="auto"/>
        <w:bottom w:val="none" w:sz="0" w:space="0" w:color="auto"/>
        <w:right w:val="none" w:sz="0" w:space="0" w:color="auto"/>
      </w:divBdr>
    </w:div>
    <w:div w:id="2000503027">
      <w:bodyDiv w:val="1"/>
      <w:marLeft w:val="0"/>
      <w:marRight w:val="0"/>
      <w:marTop w:val="0"/>
      <w:marBottom w:val="0"/>
      <w:divBdr>
        <w:top w:val="none" w:sz="0" w:space="0" w:color="auto"/>
        <w:left w:val="none" w:sz="0" w:space="0" w:color="auto"/>
        <w:bottom w:val="none" w:sz="0" w:space="0" w:color="auto"/>
        <w:right w:val="none" w:sz="0" w:space="0" w:color="auto"/>
      </w:divBdr>
    </w:div>
    <w:div w:id="2009793669">
      <w:bodyDiv w:val="1"/>
      <w:marLeft w:val="0"/>
      <w:marRight w:val="0"/>
      <w:marTop w:val="0"/>
      <w:marBottom w:val="0"/>
      <w:divBdr>
        <w:top w:val="none" w:sz="0" w:space="0" w:color="auto"/>
        <w:left w:val="none" w:sz="0" w:space="0" w:color="auto"/>
        <w:bottom w:val="none" w:sz="0" w:space="0" w:color="auto"/>
        <w:right w:val="none" w:sz="0" w:space="0" w:color="auto"/>
      </w:divBdr>
    </w:div>
    <w:div w:id="2018381443">
      <w:bodyDiv w:val="1"/>
      <w:marLeft w:val="0"/>
      <w:marRight w:val="0"/>
      <w:marTop w:val="0"/>
      <w:marBottom w:val="0"/>
      <w:divBdr>
        <w:top w:val="none" w:sz="0" w:space="0" w:color="auto"/>
        <w:left w:val="none" w:sz="0" w:space="0" w:color="auto"/>
        <w:bottom w:val="none" w:sz="0" w:space="0" w:color="auto"/>
        <w:right w:val="none" w:sz="0" w:space="0" w:color="auto"/>
      </w:divBdr>
    </w:div>
    <w:div w:id="2025669092">
      <w:bodyDiv w:val="1"/>
      <w:marLeft w:val="0"/>
      <w:marRight w:val="0"/>
      <w:marTop w:val="0"/>
      <w:marBottom w:val="0"/>
      <w:divBdr>
        <w:top w:val="none" w:sz="0" w:space="0" w:color="auto"/>
        <w:left w:val="none" w:sz="0" w:space="0" w:color="auto"/>
        <w:bottom w:val="none" w:sz="0" w:space="0" w:color="auto"/>
        <w:right w:val="none" w:sz="0" w:space="0" w:color="auto"/>
      </w:divBdr>
    </w:div>
    <w:div w:id="2027318008">
      <w:bodyDiv w:val="1"/>
      <w:marLeft w:val="0"/>
      <w:marRight w:val="0"/>
      <w:marTop w:val="0"/>
      <w:marBottom w:val="0"/>
      <w:divBdr>
        <w:top w:val="none" w:sz="0" w:space="0" w:color="auto"/>
        <w:left w:val="none" w:sz="0" w:space="0" w:color="auto"/>
        <w:bottom w:val="none" w:sz="0" w:space="0" w:color="auto"/>
        <w:right w:val="none" w:sz="0" w:space="0" w:color="auto"/>
      </w:divBdr>
    </w:div>
    <w:div w:id="2085908748">
      <w:bodyDiv w:val="1"/>
      <w:marLeft w:val="0"/>
      <w:marRight w:val="0"/>
      <w:marTop w:val="0"/>
      <w:marBottom w:val="0"/>
      <w:divBdr>
        <w:top w:val="none" w:sz="0" w:space="0" w:color="auto"/>
        <w:left w:val="none" w:sz="0" w:space="0" w:color="auto"/>
        <w:bottom w:val="none" w:sz="0" w:space="0" w:color="auto"/>
        <w:right w:val="none" w:sz="0" w:space="0" w:color="auto"/>
      </w:divBdr>
    </w:div>
    <w:div w:id="2088919924">
      <w:bodyDiv w:val="1"/>
      <w:marLeft w:val="0"/>
      <w:marRight w:val="0"/>
      <w:marTop w:val="0"/>
      <w:marBottom w:val="0"/>
      <w:divBdr>
        <w:top w:val="none" w:sz="0" w:space="0" w:color="auto"/>
        <w:left w:val="none" w:sz="0" w:space="0" w:color="auto"/>
        <w:bottom w:val="none" w:sz="0" w:space="0" w:color="auto"/>
        <w:right w:val="none" w:sz="0" w:space="0" w:color="auto"/>
      </w:divBdr>
    </w:div>
    <w:div w:id="2094738702">
      <w:bodyDiv w:val="1"/>
      <w:marLeft w:val="0"/>
      <w:marRight w:val="0"/>
      <w:marTop w:val="0"/>
      <w:marBottom w:val="0"/>
      <w:divBdr>
        <w:top w:val="none" w:sz="0" w:space="0" w:color="auto"/>
        <w:left w:val="none" w:sz="0" w:space="0" w:color="auto"/>
        <w:bottom w:val="none" w:sz="0" w:space="0" w:color="auto"/>
        <w:right w:val="none" w:sz="0" w:space="0" w:color="auto"/>
      </w:divBdr>
    </w:div>
    <w:div w:id="2097746874">
      <w:bodyDiv w:val="1"/>
      <w:marLeft w:val="0"/>
      <w:marRight w:val="0"/>
      <w:marTop w:val="0"/>
      <w:marBottom w:val="0"/>
      <w:divBdr>
        <w:top w:val="none" w:sz="0" w:space="0" w:color="auto"/>
        <w:left w:val="none" w:sz="0" w:space="0" w:color="auto"/>
        <w:bottom w:val="none" w:sz="0" w:space="0" w:color="auto"/>
        <w:right w:val="none" w:sz="0" w:space="0" w:color="auto"/>
      </w:divBdr>
    </w:div>
    <w:div w:id="2130315560">
      <w:bodyDiv w:val="1"/>
      <w:marLeft w:val="0"/>
      <w:marRight w:val="0"/>
      <w:marTop w:val="0"/>
      <w:marBottom w:val="0"/>
      <w:divBdr>
        <w:top w:val="none" w:sz="0" w:space="0" w:color="auto"/>
        <w:left w:val="none" w:sz="0" w:space="0" w:color="auto"/>
        <w:bottom w:val="none" w:sz="0" w:space="0" w:color="auto"/>
        <w:right w:val="none" w:sz="0" w:space="0" w:color="auto"/>
      </w:divBdr>
      <w:divsChild>
        <w:div w:id="724566116">
          <w:marLeft w:val="0"/>
          <w:marRight w:val="0"/>
          <w:marTop w:val="192"/>
          <w:marBottom w:val="0"/>
          <w:divBdr>
            <w:top w:val="none" w:sz="0" w:space="0" w:color="auto"/>
            <w:left w:val="none" w:sz="0" w:space="0" w:color="auto"/>
            <w:bottom w:val="none" w:sz="0" w:space="0" w:color="auto"/>
            <w:right w:val="none" w:sz="0" w:space="0" w:color="auto"/>
          </w:divBdr>
        </w:div>
      </w:divsChild>
    </w:div>
    <w:div w:id="2145847329">
      <w:bodyDiv w:val="1"/>
      <w:marLeft w:val="0"/>
      <w:marRight w:val="0"/>
      <w:marTop w:val="0"/>
      <w:marBottom w:val="0"/>
      <w:divBdr>
        <w:top w:val="none" w:sz="0" w:space="0" w:color="auto"/>
        <w:left w:val="none" w:sz="0" w:space="0" w:color="auto"/>
        <w:bottom w:val="none" w:sz="0" w:space="0" w:color="auto"/>
        <w:right w:val="none" w:sz="0" w:space="0" w:color="auto"/>
      </w:divBdr>
    </w:div>
    <w:div w:id="21463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00_MODELOS_GO\Modelo_GO_Word.dotx" TargetMode="External"/></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GO Associados">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Seb08</b:Tag>
    <b:SourceType>Book</b:SourceType>
    <b:Guid>{42F80B85-D317-4767-9188-18AFDAFE2B89}</b:Guid>
    <b:Author>
      <b:Author>
        <b:Corporate>Sebrae</b:Corporate>
      </b:Author>
    </b:Author>
    <b:Title>Cadeia produtiva do turismo - cenários econômicos e estudos setoriais</b:Title>
    <b:Year>2008</b:Year>
    <b:City>Recife, PE</b:City>
    <b:Publisher>Sebrae</b:Publisher>
    <b:RefOrder>1</b:RefOrder>
  </b:Source>
  <b:Source>
    <b:Tag>Wor15</b:Tag>
    <b:SourceType>Report</b:SourceType>
    <b:Guid>{BC3D051D-D98F-4FD0-8575-C7B469E29158}</b:Guid>
    <b:Title>Travel &amp; Tourism - Economic impact 2015 - Brazil</b:Title>
    <b:Year>2015</b:Year>
    <b:City>Londres, RU</b:City>
    <b:Author>
      <b:Author>
        <b:Corporate>World Travel &amp; Tourism Council</b:Corporate>
      </b:Author>
    </b:Author>
    <b:RefOrder>2</b:RefOrder>
  </b:Source>
</b:Sources>
</file>

<file path=customXml/itemProps1.xml><?xml version="1.0" encoding="utf-8"?>
<ds:datastoreItem xmlns:ds="http://schemas.openxmlformats.org/officeDocument/2006/customXml" ds:itemID="{78EF6B5A-32F6-43A7-B929-3D764E38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Modelo_GO_Word</Template>
  <TotalTime>2</TotalTime>
  <Pages>45</Pages>
  <Words>12090</Words>
  <Characters>66497</Characters>
  <Application>Microsoft Office Word</Application>
  <DocSecurity>0</DocSecurity>
  <Lines>554</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Microsoft</Company>
  <LinksUpToDate>false</LinksUpToDate>
  <CharactersWithSpaces>78431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Zaitune Curi</dc:creator>
  <cp:keywords/>
  <dc:description/>
  <cp:lastModifiedBy>GLOB</cp:lastModifiedBy>
  <cp:revision>3</cp:revision>
  <dcterms:created xsi:type="dcterms:W3CDTF">2017-09-15T12:12:00Z</dcterms:created>
  <dcterms:modified xsi:type="dcterms:W3CDTF">2017-09-15T12:14:00Z</dcterms:modified>
  <cp:category/>
</cp:coreProperties>
</file>